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4BD29">
      <w:pPr>
        <w:jc w:val="center"/>
        <w:rPr>
          <w:rFonts w:ascii="黑体" w:hAnsi="黑体" w:eastAsia="黑体"/>
          <w:sz w:val="52"/>
          <w:szCs w:val="52"/>
        </w:rPr>
      </w:pPr>
      <w:bookmarkStart w:id="3" w:name="_GoBack"/>
      <w:bookmarkEnd w:id="3"/>
      <w:r>
        <w:rPr>
          <w:rFonts w:hint="eastAsia" w:ascii="黑体" w:hAnsi="黑体" w:eastAsia="黑体"/>
          <w:sz w:val="52"/>
          <w:szCs w:val="52"/>
        </w:rPr>
        <w:t>衡阳市公共资源交易系统</w:t>
      </w:r>
    </w:p>
    <w:p w14:paraId="2E81997E">
      <w:pPr>
        <w:jc w:val="center"/>
        <w:rPr>
          <w:rFonts w:ascii="黑体" w:hAnsi="黑体" w:eastAsia="黑体"/>
          <w:sz w:val="52"/>
          <w:szCs w:val="52"/>
        </w:rPr>
      </w:pPr>
    </w:p>
    <w:p w14:paraId="262313C0">
      <w:pPr>
        <w:jc w:val="center"/>
        <w:rPr>
          <w:rFonts w:ascii="黑体" w:eastAsia="黑体"/>
          <w:bCs/>
          <w:sz w:val="84"/>
          <w:szCs w:val="84"/>
        </w:rPr>
      </w:pPr>
      <w:r>
        <w:rPr>
          <w:rFonts w:hint="eastAsia" w:ascii="黑体" w:eastAsia="黑体"/>
          <w:bCs/>
          <w:sz w:val="84"/>
          <w:szCs w:val="84"/>
        </w:rPr>
        <w:t>用</w:t>
      </w:r>
    </w:p>
    <w:p w14:paraId="5F2F446D">
      <w:pPr>
        <w:jc w:val="center"/>
        <w:rPr>
          <w:rFonts w:ascii="黑体" w:eastAsia="黑体"/>
          <w:bCs/>
          <w:sz w:val="84"/>
          <w:szCs w:val="84"/>
        </w:rPr>
      </w:pPr>
      <w:r>
        <w:rPr>
          <w:rFonts w:hint="eastAsia" w:ascii="黑体" w:eastAsia="黑体"/>
          <w:bCs/>
          <w:sz w:val="84"/>
          <w:szCs w:val="84"/>
        </w:rPr>
        <w:t>户</w:t>
      </w:r>
    </w:p>
    <w:p w14:paraId="7C724EB8">
      <w:pPr>
        <w:jc w:val="center"/>
        <w:rPr>
          <w:rFonts w:ascii="黑体" w:eastAsia="黑体"/>
          <w:bCs/>
          <w:sz w:val="84"/>
          <w:szCs w:val="84"/>
        </w:rPr>
      </w:pPr>
      <w:r>
        <w:rPr>
          <w:rFonts w:hint="eastAsia" w:ascii="黑体" w:eastAsia="黑体"/>
          <w:bCs/>
          <w:sz w:val="84"/>
          <w:szCs w:val="84"/>
        </w:rPr>
        <w:t>手</w:t>
      </w:r>
    </w:p>
    <w:p w14:paraId="30F8CCEE">
      <w:pPr>
        <w:jc w:val="center"/>
        <w:rPr>
          <w:rFonts w:ascii="黑体" w:eastAsia="黑体"/>
          <w:bCs/>
          <w:sz w:val="84"/>
          <w:szCs w:val="84"/>
        </w:rPr>
      </w:pPr>
      <w:r>
        <w:rPr>
          <w:rFonts w:hint="eastAsia" w:ascii="黑体" w:eastAsia="黑体"/>
          <w:bCs/>
          <w:sz w:val="84"/>
          <w:szCs w:val="84"/>
        </w:rPr>
        <w:t>册</w:t>
      </w:r>
    </w:p>
    <w:p w14:paraId="30CA5072">
      <w:pPr>
        <w:jc w:val="center"/>
        <w:rPr>
          <w:rFonts w:ascii="黑体" w:eastAsia="黑体"/>
          <w:bCs/>
          <w:sz w:val="84"/>
          <w:szCs w:val="84"/>
        </w:rPr>
      </w:pPr>
    </w:p>
    <w:p w14:paraId="418C273E">
      <w:pPr>
        <w:rPr>
          <w:b/>
          <w:sz w:val="44"/>
          <w:szCs w:val="44"/>
        </w:rPr>
      </w:pPr>
    </w:p>
    <w:p w14:paraId="523C40EA">
      <w:pPr>
        <w:rPr>
          <w:b/>
          <w:sz w:val="44"/>
          <w:szCs w:val="44"/>
        </w:rPr>
      </w:pPr>
    </w:p>
    <w:p w14:paraId="2399E984">
      <w:pPr>
        <w:rPr>
          <w:b/>
          <w:sz w:val="44"/>
          <w:szCs w:val="44"/>
        </w:rPr>
      </w:pPr>
    </w:p>
    <w:p w14:paraId="517441E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衡阳市公共资源交易中心</w:t>
      </w:r>
    </w:p>
    <w:p w14:paraId="34635F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2023年4月</w:t>
      </w:r>
    </w:p>
    <w:p w14:paraId="06C5A57E">
      <w:pPr>
        <w:jc w:val="center"/>
        <w:rPr>
          <w:sz w:val="44"/>
          <w:szCs w:val="44"/>
        </w:rPr>
      </w:pPr>
    </w:p>
    <w:p w14:paraId="2604791C">
      <w:pPr>
        <w:outlineLvl w:val="0"/>
      </w:pPr>
    </w:p>
    <w:p w14:paraId="779D103F">
      <w:pPr>
        <w:rPr>
          <w:sz w:val="24"/>
        </w:rPr>
      </w:pPr>
    </w:p>
    <w:p w14:paraId="51553E0C">
      <w:pPr>
        <w:pStyle w:val="7"/>
      </w:pPr>
    </w:p>
    <w:p w14:paraId="3ADE1723">
      <w:pPr>
        <w:pStyle w:val="7"/>
      </w:pPr>
    </w:p>
    <w:p w14:paraId="6F55F08D">
      <w:pPr>
        <w:pStyle w:val="7"/>
      </w:pPr>
      <w:r>
        <w:rPr>
          <w:rFonts w:hint="eastAsia"/>
        </w:rPr>
        <w:t>声     明</w:t>
      </w:r>
    </w:p>
    <w:p w14:paraId="4FF2243E"/>
    <w:p w14:paraId="668AADBF">
      <w:pPr>
        <w:pStyle w:val="7"/>
        <w:spacing w:line="480" w:lineRule="auto"/>
        <w:jc w:val="both"/>
        <w:rPr>
          <w:rFonts w:hAnsi="Times New Roman"/>
          <w:b w:val="0"/>
          <w:sz w:val="28"/>
          <w:szCs w:val="28"/>
        </w:rPr>
      </w:pPr>
      <w:r>
        <w:rPr>
          <w:rFonts w:hint="eastAsia" w:hAnsi="Times New Roman"/>
          <w:b w:val="0"/>
          <w:sz w:val="28"/>
          <w:szCs w:val="28"/>
        </w:rPr>
        <w:t>1．本手册指导用户熟练掌握“衡阳市公共资源交易系统”（以下简称“网上交易系统”）的操作，用户需具有基本的计算机操作能力，了解常用的计算机术语；</w:t>
      </w:r>
    </w:p>
    <w:p w14:paraId="777A475C">
      <w:pPr>
        <w:pStyle w:val="7"/>
        <w:spacing w:line="480" w:lineRule="auto"/>
        <w:jc w:val="both"/>
        <w:rPr>
          <w:rFonts w:hAnsi="Times New Roman"/>
          <w:b w:val="0"/>
          <w:sz w:val="28"/>
          <w:szCs w:val="28"/>
        </w:rPr>
      </w:pPr>
      <w:r>
        <w:rPr>
          <w:rFonts w:hint="eastAsia" w:hAnsi="Times New Roman"/>
          <w:b w:val="0"/>
          <w:sz w:val="28"/>
          <w:szCs w:val="28"/>
        </w:rPr>
        <w:t>2．本手册在使用过程中，网上交易系统可能会经常更新，本手册中例图可能会与用户实际所见到的界面不完全相同，请以实际登录网上交易系统界面为准。但本手册的例图不影响用户理解和熟练使用交易系统，本手册也会不断更新，请浏览衡阳市公共资源交易网（http://ggzy.hengyang.gov.cn/）下载最新公布的本手册电子版；</w:t>
      </w:r>
    </w:p>
    <w:p w14:paraId="6819AF43">
      <w:pPr>
        <w:pStyle w:val="7"/>
        <w:spacing w:line="480" w:lineRule="auto"/>
        <w:jc w:val="both"/>
        <w:rPr>
          <w:rFonts w:hAnsi="Times New Roman"/>
          <w:b w:val="0"/>
          <w:sz w:val="28"/>
          <w:szCs w:val="28"/>
        </w:rPr>
      </w:pPr>
      <w:r>
        <w:rPr>
          <w:rFonts w:hint="eastAsia" w:hAnsi="Times New Roman"/>
          <w:b w:val="0"/>
          <w:sz w:val="28"/>
          <w:szCs w:val="28"/>
        </w:rPr>
        <w:t>3．网上交易系统运行在因特网（internet）上，在使用网上交易系统期间，请确保你的网络能连接上因特网，而且保持网络畅通；</w:t>
      </w:r>
    </w:p>
    <w:p w14:paraId="03BB38B1">
      <w:pPr>
        <w:pStyle w:val="7"/>
        <w:spacing w:line="480" w:lineRule="auto"/>
        <w:jc w:val="both"/>
        <w:rPr>
          <w:rFonts w:hAnsi="Times New Roman"/>
          <w:b w:val="0"/>
          <w:sz w:val="28"/>
          <w:szCs w:val="28"/>
        </w:rPr>
      </w:pPr>
      <w:r>
        <w:rPr>
          <w:rFonts w:hint="eastAsia" w:hAnsi="Times New Roman"/>
          <w:b w:val="0"/>
          <w:sz w:val="28"/>
          <w:szCs w:val="28"/>
        </w:rPr>
        <w:t xml:space="preserve"> 4．本手册是对网上交易系统的一般操作说明，用户也可以拨打0734-88</w:t>
      </w:r>
      <w:r>
        <w:rPr>
          <w:rFonts w:hAnsi="Times New Roman"/>
          <w:b w:val="0"/>
          <w:sz w:val="28"/>
          <w:szCs w:val="28"/>
        </w:rPr>
        <w:t>46</w:t>
      </w:r>
      <w:r>
        <w:rPr>
          <w:rFonts w:hint="eastAsia" w:hAnsi="Times New Roman"/>
          <w:b w:val="0"/>
          <w:sz w:val="28"/>
          <w:szCs w:val="28"/>
        </w:rPr>
        <w:t>540（建设工程交易科），0734</w:t>
      </w:r>
      <w:r>
        <w:rPr>
          <w:rFonts w:hAnsi="Times New Roman"/>
          <w:b w:val="0"/>
          <w:sz w:val="28"/>
          <w:szCs w:val="28"/>
        </w:rPr>
        <w:t>-8846512</w:t>
      </w:r>
      <w:r>
        <w:rPr>
          <w:rFonts w:hint="eastAsia" w:hAnsi="Times New Roman"/>
          <w:b w:val="0"/>
          <w:sz w:val="28"/>
          <w:szCs w:val="28"/>
        </w:rPr>
        <w:t>（政府</w:t>
      </w:r>
      <w:r>
        <w:rPr>
          <w:rFonts w:hAnsi="Times New Roman"/>
          <w:b w:val="0"/>
          <w:sz w:val="28"/>
          <w:szCs w:val="28"/>
        </w:rPr>
        <w:t>采购科</w:t>
      </w:r>
      <w:r>
        <w:rPr>
          <w:rFonts w:hint="eastAsia" w:hAnsi="Times New Roman"/>
          <w:b w:val="0"/>
          <w:sz w:val="28"/>
          <w:szCs w:val="28"/>
        </w:rPr>
        <w:t>），0734-88</w:t>
      </w:r>
      <w:r>
        <w:rPr>
          <w:rFonts w:hAnsi="Times New Roman"/>
          <w:b w:val="0"/>
          <w:sz w:val="28"/>
          <w:szCs w:val="28"/>
        </w:rPr>
        <w:t>46545</w:t>
      </w:r>
      <w:r>
        <w:rPr>
          <w:rFonts w:hint="eastAsia" w:hAnsi="Times New Roman"/>
          <w:b w:val="0"/>
          <w:sz w:val="28"/>
          <w:szCs w:val="28"/>
        </w:rPr>
        <w:t>（技术支持）获得更详细的网上交易系统使用说明。</w:t>
      </w:r>
    </w:p>
    <w:p w14:paraId="2B377A5F">
      <w:pPr>
        <w:widowControl/>
        <w:jc w:val="left"/>
      </w:pPr>
      <w:r>
        <w:br w:type="page"/>
      </w:r>
    </w:p>
    <w:p w14:paraId="441B39C7"/>
    <w:p w14:paraId="779B0BB9">
      <w:pPr>
        <w:pStyle w:val="2"/>
        <w:numPr>
          <w:ilvl w:val="0"/>
          <w:numId w:val="1"/>
        </w:numPr>
        <w:spacing w:before="0" w:after="0" w:line="240" w:lineRule="auto"/>
        <w:jc w:val="center"/>
        <w:rPr>
          <w:sz w:val="30"/>
          <w:szCs w:val="30"/>
        </w:rPr>
      </w:pPr>
      <w:bookmarkStart w:id="0" w:name="_Toc109638489"/>
      <w:bookmarkStart w:id="1" w:name="_Toc483576801"/>
      <w:bookmarkStart w:id="2" w:name="_Toc273198325"/>
      <w:r>
        <w:rPr>
          <w:rFonts w:hint="eastAsia"/>
          <w:sz w:val="30"/>
          <w:szCs w:val="30"/>
        </w:rPr>
        <w:t>入门</w:t>
      </w:r>
      <w:bookmarkEnd w:id="0"/>
      <w:bookmarkEnd w:id="1"/>
      <w:bookmarkEnd w:id="2"/>
    </w:p>
    <w:p w14:paraId="113059D5">
      <w:pPr>
        <w:spacing w:line="360" w:lineRule="auto"/>
        <w:ind w:firstLine="630" w:firstLineChars="2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欢迎使用衡阳市公共资源交易系统。在正式使用本系统之前，请确认你的计算机中安装了以下软件：</w:t>
      </w:r>
    </w:p>
    <w:p w14:paraId="0A32871B">
      <w:pPr>
        <w:spacing w:line="360" w:lineRule="auto"/>
        <w:ind w:left="960" w:leftChars="257" w:hanging="420" w:hanging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1．浏览器请使用IE9及以上版本。注意本系统建议使用Microsoft的Internet Explorer浏览器。因使用浏览器导致的任何问题，本系统概不负责。</w:t>
      </w:r>
    </w:p>
    <w:p w14:paraId="47E75C08">
      <w:pPr>
        <w:spacing w:line="360" w:lineRule="auto"/>
        <w:ind w:left="960" w:leftChars="257" w:hanging="420" w:hanging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2．安装防毒及安全软件，保证计算机系统无病毒、木马、恶意软件，并设置不拦截此网站内容等。</w:t>
      </w:r>
    </w:p>
    <w:p w14:paraId="42892F69">
      <w:pPr>
        <w:spacing w:line="360" w:lineRule="auto"/>
        <w:ind w:left="960" w:leftChars="257" w:hanging="420" w:hangingChars="150"/>
        <w:rPr>
          <w:rFonts w:ascii="宋体" w:hAnsi="宋体"/>
          <w:sz w:val="28"/>
          <w:szCs w:val="28"/>
        </w:rPr>
      </w:pPr>
    </w:p>
    <w:p w14:paraId="3837E077">
      <w:pPr>
        <w:pStyle w:val="3"/>
        <w:numPr>
          <w:ilvl w:val="1"/>
          <w:numId w:val="2"/>
        </w:numPr>
        <w:spacing w:before="0" w:after="0" w:line="24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网页设置</w:t>
      </w:r>
    </w:p>
    <w:p w14:paraId="2E47C0AD">
      <w:pPr>
        <w:spacing w:line="360" w:lineRule="auto"/>
        <w:ind w:left="4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设置受信任站点 ：本系统采用了加密传输，保证系统在传输数据过程的安全。为更好的使用本系统，请将本系统设置为“受信任站点”。 设置方法步骤：</w:t>
      </w:r>
    </w:p>
    <w:p w14:paraId="55E3687B">
      <w:pPr>
        <w:spacing w:line="360" w:lineRule="auto"/>
        <w:ind w:left="4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a.打开IE浏览器</w:t>
      </w:r>
      <w:r>
        <w:rPr>
          <w:rFonts w:hint="eastAsia" w:ascii="宋体" w:hAnsi="宋体"/>
          <w:sz w:val="28"/>
          <w:szCs w:val="28"/>
          <w:lang w:eastAsia="zh-CN"/>
        </w:rPr>
        <w:t>登录</w:t>
      </w:r>
      <w:r>
        <w:rPr>
          <w:rFonts w:hint="eastAsia" w:ascii="宋体" w:hAnsi="宋体"/>
          <w:sz w:val="28"/>
          <w:szCs w:val="28"/>
        </w:rPr>
        <w:t>衡阳市公共资源交易网http://ggzy.hengyang.gov.cn/，选择“工具”－“Internet选项”</w:t>
      </w:r>
    </w:p>
    <w:p w14:paraId="509D64AB">
      <w:pPr>
        <w:spacing w:line="360" w:lineRule="auto"/>
        <w:ind w:left="4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b.选择“安全”选项卡，依次点击“受信任站点”－“站点</w:t>
      </w:r>
      <w:r>
        <w:rPr>
          <w:rFonts w:ascii="宋体" w:hAnsi="宋体"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将“http://ggzy.hengyang.gov.cn/”添加到受信任站点中</w:t>
      </w:r>
    </w:p>
    <w:p w14:paraId="6A1FB139">
      <w:pPr>
        <w:spacing w:line="360" w:lineRule="auto"/>
        <w:ind w:left="425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1619885" cy="2752725"/>
            <wp:effectExtent l="0" t="0" r="1079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114300" distR="114300">
            <wp:extent cx="3196590" cy="3881755"/>
            <wp:effectExtent l="0" t="0" r="381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5482">
      <w:pPr>
        <w:pStyle w:val="8"/>
        <w:spacing w:line="360" w:lineRule="auto"/>
        <w:ind w:left="4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c.点击“关闭”按钮，</w:t>
      </w:r>
    </w:p>
    <w:p w14:paraId="396DA640">
      <w:pPr>
        <w:pStyle w:val="8"/>
        <w:spacing w:line="360" w:lineRule="auto"/>
        <w:ind w:left="42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d.点击自定义级别，在ActiveX控件和插件里选项里都启用。</w:t>
      </w:r>
    </w:p>
    <w:p w14:paraId="12B0FA42">
      <w:pPr>
        <w:pStyle w:val="8"/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267325" cy="3371850"/>
            <wp:effectExtent l="0" t="0" r="5715" b="1143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A252">
      <w:pPr>
        <w:spacing w:line="360" w:lineRule="auto"/>
        <w:rPr>
          <w:rFonts w:ascii="宋体" w:hAnsi="宋体"/>
          <w:sz w:val="28"/>
          <w:szCs w:val="28"/>
        </w:rPr>
      </w:pPr>
    </w:p>
    <w:p w14:paraId="16C61ED4">
      <w:r>
        <w:rPr>
          <w:rFonts w:hint="eastAsia" w:ascii="宋体" w:hAnsi="宋体"/>
          <w:sz w:val="28"/>
          <w:szCs w:val="28"/>
        </w:rPr>
        <w:t>启用之后回到刷新登录页面会弹出控件加载的提示，请点允许，然后添加兼容模式。</w:t>
      </w:r>
    </w:p>
    <w:p w14:paraId="74982813">
      <w:pPr>
        <w:pStyle w:val="2"/>
        <w:numPr>
          <w:ilvl w:val="0"/>
          <w:numId w:val="1"/>
        </w:numPr>
        <w:spacing w:before="0" w:after="0" w:line="240" w:lineRule="auto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用户注册、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及</w:t>
      </w:r>
      <w:r>
        <w:rPr>
          <w:rFonts w:hint="eastAsia"/>
          <w:sz w:val="30"/>
          <w:szCs w:val="30"/>
          <w:lang w:val="en-US"/>
        </w:rPr>
        <w:t>CA</w:t>
      </w:r>
    </w:p>
    <w:p w14:paraId="481E0E00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用户注册</w:t>
      </w:r>
    </w:p>
    <w:p w14:paraId="37DC93DF">
      <w:pPr>
        <w:spacing w:line="360" w:lineRule="auto"/>
        <w:jc w:val="distribute"/>
        <w:rPr>
          <w:rFonts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 xml:space="preserve">1.在完成这些必要的准备工作后，你可以点击IE图标 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drawing>
          <wp:inline distT="0" distB="0" distL="114300" distR="114300">
            <wp:extent cx="371475" cy="400050"/>
            <wp:effectExtent l="0" t="0" r="9525" b="1143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打开浏览器，在地址栏中输入衡阳市公共资源交易网的地址（https://ggzy.hengyang.gov.cn/）。点击“投标人/代理机构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”，进入登录页面，完成注册及登录，上述IE设置必须提前做好，不然后面的证书激活、证书登录都会报错。</w:t>
      </w:r>
    </w:p>
    <w:p w14:paraId="13EA88E3">
      <w:r>
        <w:drawing>
          <wp:inline distT="0" distB="0" distL="114300" distR="114300">
            <wp:extent cx="5273040" cy="199263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46985"/>
            <wp:effectExtent l="0" t="0" r="508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DD16"/>
    <w:p w14:paraId="49F749D2">
      <w:r>
        <w:rPr>
          <w:rFonts w:hint="eastAsia" w:asciiTheme="majorEastAsia" w:hAnsiTheme="majorEastAsia" w:eastAsiaTheme="majorEastAsia" w:cstheme="majorEastAsia"/>
          <w:sz w:val="28"/>
          <w:szCs w:val="36"/>
        </w:rPr>
        <w:t>2.点击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eastAsia="zh-CN"/>
        </w:rPr>
        <w:t>用户登录</w:t>
      </w:r>
      <w:r>
        <w:rPr>
          <w:rFonts w:hint="eastAsia" w:asciiTheme="majorEastAsia" w:hAnsiTheme="majorEastAsia" w:eastAsiaTheme="majorEastAsia" w:cstheme="majorEastAsia"/>
          <w:sz w:val="28"/>
          <w:szCs w:val="36"/>
        </w:rPr>
        <w:t>-免费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注册，进入湖南省统一注册平台；</w:t>
      </w:r>
    </w:p>
    <w:p w14:paraId="250E4AD2">
      <w:r>
        <w:drawing>
          <wp:inline distT="0" distB="0" distL="114300" distR="114300">
            <wp:extent cx="5273675" cy="2487930"/>
            <wp:effectExtent l="0" t="0" r="1460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3F71">
      <w:pPr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3.根据注册类型，选择单位或自然人(个人)，进行账号注册</w:t>
      </w:r>
    </w:p>
    <w:p w14:paraId="48B9D4D9">
      <w:r>
        <w:drawing>
          <wp:inline distT="0" distB="0" distL="114300" distR="114300">
            <wp:extent cx="5264785" cy="2388870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A6DB">
      <w:r>
        <w:drawing>
          <wp:inline distT="0" distB="0" distL="114300" distR="114300">
            <wp:extent cx="5265420" cy="273875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11C6">
      <w:pPr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4.输入完单位/个人信息后，根据要求，输入用户名和密码(该用户名和密码自行输入，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</w:rPr>
        <w:t>用户名为单位名称或个人姓名，请记住该用户名和密码，以便后续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  <w:lang w:eastAsia="zh-CN"/>
        </w:rPr>
        <w:t>登录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</w:rPr>
        <w:t>系统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)</w:t>
      </w:r>
    </w:p>
    <w:p w14:paraId="52F917A1">
      <w:r>
        <w:drawing>
          <wp:inline distT="0" distB="0" distL="0" distR="0">
            <wp:extent cx="5274310" cy="2204085"/>
            <wp:effectExtent l="0" t="0" r="1397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A9D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5.在完善所有信息后，点击提交，当状态为已提交时，用户注册成功</w:t>
      </w:r>
    </w:p>
    <w:p w14:paraId="260BC042">
      <w:r>
        <w:drawing>
          <wp:inline distT="0" distB="0" distL="114300" distR="114300">
            <wp:extent cx="5271770" cy="767080"/>
            <wp:effectExtent l="0" t="0" r="127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FD81"/>
    <w:p w14:paraId="28DA00B2"/>
    <w:p w14:paraId="50457D53"/>
    <w:p w14:paraId="72EC6C96"/>
    <w:p w14:paraId="754EB8CC"/>
    <w:p w14:paraId="4DC5B4A5"/>
    <w:p w14:paraId="6A30BE81"/>
    <w:p w14:paraId="43839951"/>
    <w:p w14:paraId="2EF6E7DD"/>
    <w:p w14:paraId="2B4B948D"/>
    <w:p w14:paraId="5E02131E"/>
    <w:p w14:paraId="483F6A0B"/>
    <w:p w14:paraId="5C2799C8"/>
    <w:p w14:paraId="202903A0"/>
    <w:p w14:paraId="03A2659B"/>
    <w:p w14:paraId="0C337AAC"/>
    <w:p w14:paraId="0A422E59"/>
    <w:p w14:paraId="722B7D77"/>
    <w:p w14:paraId="369C8495"/>
    <w:p w14:paraId="0BB2AD36"/>
    <w:p w14:paraId="4DBC1DC0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用户登录</w:t>
      </w:r>
    </w:p>
    <w:p w14:paraId="3D193A8A">
      <w:pPr>
        <w:numPr>
          <w:ilvl w:val="0"/>
          <w:numId w:val="4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当用户账号注册完后，再到衡阳市公共资源交易系统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界面，点击</w:t>
      </w:r>
      <w:r>
        <w:rPr>
          <w:rFonts w:hint="eastAsia"/>
          <w:sz w:val="30"/>
          <w:szCs w:val="30"/>
          <w:lang w:eastAsia="zh-CN"/>
        </w:rPr>
        <w:t>用户登录</w:t>
      </w:r>
      <w:r>
        <w:rPr>
          <w:rFonts w:hint="eastAsia"/>
          <w:sz w:val="30"/>
          <w:szCs w:val="30"/>
        </w:rPr>
        <w:t>，输入用户名和密码，进入交易系统</w:t>
      </w:r>
    </w:p>
    <w:p w14:paraId="0CE21113">
      <w:r>
        <w:drawing>
          <wp:inline distT="0" distB="0" distL="114300" distR="114300">
            <wp:extent cx="5273675" cy="2487930"/>
            <wp:effectExtent l="0" t="0" r="1460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6837F">
      <w:pPr>
        <w:numPr>
          <w:ilvl w:val="0"/>
          <w:numId w:val="4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进入系统后，点击投标/代理基本信息管理，点击基本信息，点击修改信息；</w:t>
      </w:r>
    </w:p>
    <w:p w14:paraId="54D21344">
      <w:r>
        <w:drawing>
          <wp:inline distT="0" distB="0" distL="114300" distR="114300">
            <wp:extent cx="5272405" cy="2523490"/>
            <wp:effectExtent l="0" t="0" r="635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ED6D"/>
    <w:p w14:paraId="1B97BD82"/>
    <w:p w14:paraId="41D2579D"/>
    <w:p w14:paraId="628C8A8F"/>
    <w:p w14:paraId="7636B998"/>
    <w:p w14:paraId="5D246953"/>
    <w:p w14:paraId="1703ECD5"/>
    <w:p w14:paraId="51DF0614"/>
    <w:p w14:paraId="4FBAFD6A">
      <w:pPr>
        <w:numPr>
          <w:ilvl w:val="0"/>
          <w:numId w:val="4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根据要求，填写完基本信息、上传电子件后，点击修改保存，保存成功则点击下一步提交审核，交易乙方(投标单位)提交即审核通过，代理机构需要市场主题科进行审核；</w:t>
      </w:r>
    </w:p>
    <w:p w14:paraId="295C45A5">
      <w:r>
        <w:drawing>
          <wp:inline distT="0" distB="0" distL="114300" distR="114300">
            <wp:extent cx="5266055" cy="2785110"/>
            <wp:effectExtent l="0" t="0" r="698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1EF6"/>
    <w:p w14:paraId="0A9973C7"/>
    <w:p w14:paraId="2A332F7E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CA</w:t>
      </w:r>
      <w:r>
        <w:rPr>
          <w:rFonts w:hint="eastAsia"/>
          <w:sz w:val="30"/>
          <w:szCs w:val="30"/>
          <w:lang w:eastAsia="zh-CN"/>
        </w:rPr>
        <w:t>登录</w:t>
      </w:r>
    </w:p>
    <w:p w14:paraId="42DACDF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1.根据办理的CA，点击相应驱动进行下载</w:t>
      </w:r>
    </w:p>
    <w:p w14:paraId="6A0C4AA1">
      <w:r>
        <w:drawing>
          <wp:inline distT="0" distB="0" distL="114300" distR="114300">
            <wp:extent cx="5268595" cy="2244725"/>
            <wp:effectExtent l="0" t="0" r="444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B42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2.驱动下载完后，点击CA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，输入密码即可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系统进行招投标业务；</w:t>
      </w:r>
    </w:p>
    <w:p w14:paraId="7BA43EF6">
      <w:r>
        <w:drawing>
          <wp:inline distT="0" distB="0" distL="114300" distR="114300">
            <wp:extent cx="5261610" cy="2242185"/>
            <wp:effectExtent l="0" t="0" r="11430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1A50"/>
    <w:p w14:paraId="34D13582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标证通</w:t>
      </w:r>
      <w:r>
        <w:rPr>
          <w:rFonts w:hint="eastAsia"/>
          <w:sz w:val="30"/>
          <w:szCs w:val="30"/>
          <w:lang w:eastAsia="zh-CN"/>
        </w:rPr>
        <w:t>登录</w:t>
      </w:r>
    </w:p>
    <w:p w14:paraId="645B17D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1.当用户账号注册完后，再到衡阳市公共资源交易系统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界面，点击</w:t>
      </w:r>
      <w:r>
        <w:rPr>
          <w:rFonts w:hint="eastAsia"/>
          <w:sz w:val="30"/>
          <w:szCs w:val="30"/>
          <w:lang w:eastAsia="zh-CN"/>
        </w:rPr>
        <w:t>用户登录</w:t>
      </w:r>
      <w:r>
        <w:rPr>
          <w:rFonts w:hint="eastAsia"/>
          <w:sz w:val="30"/>
          <w:szCs w:val="30"/>
        </w:rPr>
        <w:t>，输入用户名和密码，进入交易系统；</w:t>
      </w:r>
    </w:p>
    <w:p w14:paraId="1CB8C550">
      <w:r>
        <w:drawing>
          <wp:inline distT="0" distB="0" distL="114300" distR="114300">
            <wp:extent cx="5273675" cy="2487930"/>
            <wp:effectExtent l="0" t="0" r="1460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C53A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点击右上角图标，打开标证通二维码页面，点开标证通APP，打开扫一扫，扫描该二维码进行绑定；</w:t>
      </w:r>
    </w:p>
    <w:p w14:paraId="441E6ED3">
      <w:r>
        <w:drawing>
          <wp:inline distT="0" distB="0" distL="114300" distR="114300">
            <wp:extent cx="5261610" cy="707390"/>
            <wp:effectExtent l="0" t="0" r="11430" b="88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A65B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绑定成功后，点击右上角关闭按钮，退出系统，进入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界面，点击扫码</w:t>
      </w:r>
      <w:r>
        <w:rPr>
          <w:rFonts w:hint="eastAsia"/>
          <w:sz w:val="30"/>
          <w:szCs w:val="30"/>
          <w:lang w:eastAsia="zh-CN"/>
        </w:rPr>
        <w:t>登录</w:t>
      </w:r>
      <w:r>
        <w:rPr>
          <w:rFonts w:hint="eastAsia"/>
          <w:sz w:val="30"/>
          <w:szCs w:val="30"/>
        </w:rPr>
        <w:t>，再使用标证通扫码进入系统。</w:t>
      </w:r>
    </w:p>
    <w:p w14:paraId="300EF258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功能模块</w:t>
      </w:r>
    </w:p>
    <w:p w14:paraId="691AA40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1.若左侧无需要的功能模块，点击远程证书激活，点击读取证书，勾选对应用户类型，点击修改；</w:t>
      </w:r>
    </w:p>
    <w:p w14:paraId="1CFCAFDA">
      <w:r>
        <w:drawing>
          <wp:inline distT="0" distB="0" distL="114300" distR="114300">
            <wp:extent cx="5272405" cy="2118995"/>
            <wp:effectExtent l="0" t="0" r="635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C718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2.企业资质。点击企业资质，新增，经营资质，完善信息，点击下一步提交，进行审核；</w:t>
      </w:r>
    </w:p>
    <w:p w14:paraId="4B2C8148">
      <w:r>
        <w:drawing>
          <wp:inline distT="0" distB="0" distL="114300" distR="114300">
            <wp:extent cx="5264785" cy="1760220"/>
            <wp:effectExtent l="0" t="0" r="825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D3A9">
      <w:r>
        <w:drawing>
          <wp:inline distT="0" distB="0" distL="114300" distR="114300">
            <wp:extent cx="5266690" cy="1128395"/>
            <wp:effectExtent l="0" t="0" r="6350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10F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3.职业人员。点击职业人员，新增职业人员，完善信息点击下一步提交审核；</w:t>
      </w:r>
    </w:p>
    <w:p w14:paraId="7DD4EB8E">
      <w:r>
        <w:drawing>
          <wp:inline distT="0" distB="0" distL="114300" distR="114300">
            <wp:extent cx="5270500" cy="1768475"/>
            <wp:effectExtent l="0" t="0" r="2540" b="146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0F60">
      <w:r>
        <w:drawing>
          <wp:inline distT="0" distB="0" distL="114300" distR="114300">
            <wp:extent cx="5263515" cy="2157730"/>
            <wp:effectExtent l="0" t="0" r="9525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6916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其它事项</w:t>
      </w:r>
    </w:p>
    <w:p w14:paraId="22C83BD3">
      <w:pPr>
        <w:rPr>
          <w:rFonts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>1.</w:t>
      </w:r>
      <w:r>
        <w:fldChar w:fldCharType="begin"/>
      </w:r>
      <w:r>
        <w:instrText xml:space="preserve"> HYPERLINK "mailto:公司名称变更。如公司名称发生变更，在CA中公司名称变更后，自拟一份公司名称变更说明及营业执照副件发送邮箱到2939322251@qq.com，请勿在进行招投标业务时变更；"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公司名称变更。如公司名称发生变更，在CA中公司名称变更后，自拟一份公司名称变更说明及营业执照副件发送邮箱到2939322251@qq.com，如公司名称已发生变更，请提前联系中心人员进行名称变更，请勿在进行招投标业务时变更；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fldChar w:fldCharType="end"/>
      </w:r>
    </w:p>
    <w:p w14:paraId="7E3D09C9">
      <w:pPr>
        <w:rPr>
          <w:rFonts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>2.CA锁延期。为不影响到正常招投标业务的进行，请提前延期，请勿在进行招投标业务时延期(如在下载招标文件后再进行延期，会影响到贵公司正常开标)；</w:t>
      </w:r>
    </w:p>
    <w:p w14:paraId="48FE73F3">
      <w:pPr>
        <w:rPr>
          <w:rFonts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>3.如注册后，未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过衡阳交易系统，忘记密码请拨打4007777016、4006682666；如在衡阳交易系统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eastAsia="zh-CN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过忘记密码，请按第一步流程操作；</w:t>
      </w:r>
    </w:p>
    <w:p w14:paraId="5B8F9466">
      <w:pPr>
        <w:tabs>
          <w:tab w:val="right" w:pos="8306"/>
        </w:tabs>
        <w:rPr>
          <w:rFonts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>4.如有系统问题，请拨打0734-8846545(交易中心信息科技术支持)；</w:t>
      </w:r>
    </w:p>
    <w:p w14:paraId="043D6E4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B544EA"/>
    <w:multiLevelType w:val="singleLevel"/>
    <w:tmpl w:val="12B544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9217913"/>
    <w:multiLevelType w:val="singleLevel"/>
    <w:tmpl w:val="49217913"/>
    <w:lvl w:ilvl="0" w:tentative="0">
      <w:start w:val="1"/>
      <w:numFmt w:val="chineseCounting"/>
      <w:suff w:val="nothing"/>
      <w:lvlText w:val="%1、"/>
      <w:lvlJc w:val="left"/>
      <w:pPr>
        <w:ind w:left="750" w:firstLine="0"/>
      </w:pPr>
      <w:rPr>
        <w:rFonts w:hint="eastAsia"/>
      </w:rPr>
    </w:lvl>
  </w:abstractNum>
  <w:abstractNum w:abstractNumId="2">
    <w:nsid w:val="4C924088"/>
    <w:multiLevelType w:val="multilevel"/>
    <w:tmpl w:val="4C92408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">
    <w:nsid w:val="53B34F66"/>
    <w:multiLevelType w:val="multilevel"/>
    <w:tmpl w:val="53B34F66"/>
    <w:lvl w:ilvl="0" w:tentative="0">
      <w:start w:val="1"/>
      <w:numFmt w:val="chineseCountingThousand"/>
      <w:lvlText w:val="第%1章"/>
      <w:lvlJc w:val="left"/>
      <w:pPr>
        <w:tabs>
          <w:tab w:val="left" w:pos="965"/>
        </w:tabs>
        <w:ind w:left="965" w:hanging="425"/>
      </w:pPr>
      <w:rPr>
        <w:rFonts w:hint="eastAsia" w:eastAsia="宋体"/>
        <w:sz w:val="36"/>
        <w:szCs w:val="36"/>
      </w:rPr>
    </w:lvl>
    <w:lvl w:ilvl="1" w:tentative="0">
      <w:start w:val="0"/>
      <w:numFmt w:val="decimal"/>
      <w:lvlText w:val="%1.1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571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I4ZGM4YTZkY2QxNzM0ZGMwMGZhNjU2ZDY5NGNlOWQifQ=="/>
  </w:docVars>
  <w:rsids>
    <w:rsidRoot w:val="65E51E90"/>
    <w:rsid w:val="00463F67"/>
    <w:rsid w:val="004B5819"/>
    <w:rsid w:val="00522176"/>
    <w:rsid w:val="03785ABF"/>
    <w:rsid w:val="2659205E"/>
    <w:rsid w:val="30D604C1"/>
    <w:rsid w:val="65E5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6"/>
    <w:qFormat/>
    <w:uiPriority w:val="0"/>
    <w:rPr>
      <w:sz w:val="18"/>
      <w:szCs w:val="18"/>
    </w:rPr>
  </w:style>
  <w:style w:type="paragraph" w:styleId="5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jc w:val="center"/>
    </w:pPr>
    <w:rPr>
      <w:rFonts w:ascii="仿宋_GB2312" w:hAnsi="等线" w:eastAsia="仿宋_GB2312"/>
      <w:b/>
      <w:sz w:val="30"/>
      <w:szCs w:val="30"/>
    </w:rPr>
  </w:style>
  <w:style w:type="paragraph" w:styleId="8">
    <w:name w:val="Normal (Web)"/>
    <w:basedOn w:val="1"/>
    <w:unhideWhenUsed/>
    <w:qFormat/>
    <w:uiPriority w:val="99"/>
    <w:pPr>
      <w:jc w:val="left"/>
    </w:pPr>
    <w:rPr>
      <w:color w:val="333333"/>
      <w:kern w:val="0"/>
      <w:sz w:val="24"/>
    </w:r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FollowedHyperlink"/>
    <w:basedOn w:val="10"/>
    <w:uiPriority w:val="0"/>
    <w:rPr>
      <w:color w:val="800080"/>
      <w:u w:val="none"/>
    </w:rPr>
  </w:style>
  <w:style w:type="character" w:styleId="13">
    <w:name w:val="Emphasis"/>
    <w:basedOn w:val="10"/>
    <w:qFormat/>
    <w:uiPriority w:val="0"/>
    <w:rPr>
      <w:b/>
      <w:bCs/>
    </w:rPr>
  </w:style>
  <w:style w:type="character" w:styleId="14">
    <w:name w:val="HTML Definition"/>
    <w:basedOn w:val="10"/>
    <w:uiPriority w:val="0"/>
  </w:style>
  <w:style w:type="character" w:styleId="15">
    <w:name w:val="HTML Typewriter"/>
    <w:basedOn w:val="10"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0"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0"/>
    <w:rPr>
      <w:color w:val="0000FF"/>
      <w:u w:val="single"/>
    </w:rPr>
  </w:style>
  <w:style w:type="character" w:styleId="19">
    <w:name w:val="HTML Code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character" w:customStyle="1" w:styleId="23">
    <w:name w:val="hover1"/>
    <w:basedOn w:val="10"/>
    <w:qFormat/>
    <w:uiPriority w:val="0"/>
  </w:style>
  <w:style w:type="character" w:customStyle="1" w:styleId="24">
    <w:name w:val="页眉 Char"/>
    <w:basedOn w:val="10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5">
    <w:name w:val="页脚 Char"/>
    <w:basedOn w:val="10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6">
    <w:name w:val="批注框文本 Char"/>
    <w:basedOn w:val="10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1737</Words>
  <Characters>2003</Characters>
  <Lines>16</Lines>
  <Paragraphs>4</Paragraphs>
  <TotalTime>8</TotalTime>
  <ScaleCrop>false</ScaleCrop>
  <LinksUpToDate>false</LinksUpToDate>
  <CharactersWithSpaces>2013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2023-04-13T01:53:00Z</dcterms:created>
  <dc:creator>Administrator</dc:creator>
  <cp:lastModifiedBy>好好先生</cp:lastModifiedBy>
  <dcterms:modified xsi:type="dcterms:W3CDTF">2025-08-14T03:32:35Z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8096F38B589148E08BDA7EB918CFE987_11</vt:lpwstr>
  </property>
  <property fmtid="{D5CDD505-2E9C-101B-9397-08002B2CF9AE}" pid="4" name="KSOTemplateDocerSaveRecord">
    <vt:lpwstr>eyJoZGlkIjoiYzcyNzVkZGRhMDA5NzdlMGNiNTEyYzA3ODI0MWFmMmIiLCJ1c2VySWQiOiI3MTUyMDI2NzAifQ==</vt:lpwstr>
  </property>
</Properties>
</file>