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spacing w:line="600" w:lineRule="exact"/>
        <w:jc w:val="center"/>
        <w:rPr>
          <w:rFonts w:ascii="Times New Roman" w:hAnsi="Times New Roman" w:eastAsia="楷体_GB2312"/>
          <w:sz w:val="32"/>
          <w:szCs w:val="32"/>
        </w:rPr>
      </w:pPr>
    </w:p>
    <w:p>
      <w:pPr>
        <w:rPr>
          <w:rFonts w:ascii="Times New Roman" w:hAnsi="Times New Roman" w:eastAsia="方正小标宋_GBK"/>
          <w:sz w:val="32"/>
          <w:szCs w:val="32"/>
        </w:rPr>
      </w:pPr>
    </w:p>
    <w:p>
      <w:pPr>
        <w:pStyle w:val="18"/>
        <w:widowControl/>
        <w:numPr>
          <w:ilvl w:val="0"/>
          <w:numId w:val="1"/>
        </w:numPr>
        <w:ind w:firstLine="640"/>
        <w:rPr>
          <w:rFonts w:eastAsia="黑体"/>
          <w:sz w:val="32"/>
          <w:szCs w:val="32"/>
        </w:rPr>
      </w:pPr>
      <w:r>
        <w:rPr>
          <w:rFonts w:eastAsia="黑体"/>
          <w:sz w:val="32"/>
          <w:szCs w:val="32"/>
        </w:rPr>
        <w:t>部门、单位基本情况</w:t>
      </w:r>
    </w:p>
    <w:p>
      <w:pPr>
        <w:pStyle w:val="18"/>
        <w:widowControl/>
        <w:numPr>
          <w:ilvl w:val="0"/>
          <w:numId w:val="0"/>
        </w:numPr>
        <w:ind w:firstLine="640" w:firstLineChars="200"/>
        <w:rPr>
          <w:rFonts w:hint="eastAsia"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衡阳市公共资源交易中心是市人民政府直属正处级公益一类事业单位，我单位现有科处室10个，核定全额拨款事业编制人员63名，实有人数54人,退休人员7名，属市一级预算单位。内设办公室、组织人事科、财务科、信息管理科、建设工程交易科、政府采购交易科、自然资源交易科、国有产权交易科、现场管理科、市场主体服务科。</w:t>
      </w:r>
    </w:p>
    <w:p>
      <w:pPr>
        <w:pStyle w:val="18"/>
        <w:widowControl/>
        <w:numPr>
          <w:ilvl w:val="0"/>
          <w:numId w:val="0"/>
        </w:numPr>
        <w:ind w:firstLine="640" w:firstLineChars="200"/>
        <w:rPr>
          <w:rFonts w:hint="default"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中心主要职责：1、贯彻落实国家、省公共资源交易法律法规、方针政策和州各项决策部署；2、提供交易活动所必需的场所、设施和服务，组织公共资源交易活动；并根据交易规则规定的受理资料进行形式要件审查，确保交易项目符合进场交易条件；3、参与制定并执行各类交易流程、操作规程和现场管理制度，按照规定对中介代理机构进行日常考评，维持现场交易秩序；按照交易类别和统一的交易规则，制定网上预约、受理登记、信息发布、专家抽取、开评标现场服务、资料调阅等工作规范；4、建立和维护公共资源交易电子交易系统、公共资源交易电子服务系统，为有关单位核验公共资源交易主体、从业人员的资质、资格以及交易项目提供服务；5、负责收集、存储和发布各类公共资源交易信息，为市场主体提供信息咨询服务；记录、整理、保存交易全过程相关资料，汇总分析、综合利用交易数据，及时向相关单位报送，开展交易风险监测预警并提出意见和建议；6、为行政监督单位开展监督提供必要条件和平台服务，协助配合行政监督单位和监察机关的监督执法工作，记录行政监督单位的现场监督执法过程，及时报告交易活动中违反交易规则和管理制度的行为以及违法违规问题线索；7、按规定使用评标评审专家库抽取终端，提供专家抽取服务；分工负责评标评审专家的日常考评，对专家的考勤、遵守现场管理秩序等情况进行记录和考评；8、提供交易活动见证服务，配合和协助行政单位进行信用体系建设，负责全市公共资源交易失信行为信息和惩戒措施的汇总、公布，提供信息披露、奖惩记录公示等信息平台；9、按照规定收取有关费用；代收、代退法定交易保证金；10、完成市人民政府、市公共资源交易管理委员会交办的其他工作。</w:t>
      </w:r>
    </w:p>
    <w:p>
      <w:pPr>
        <w:pStyle w:val="18"/>
        <w:widowControl/>
        <w:numPr>
          <w:ilvl w:val="0"/>
          <w:numId w:val="0"/>
        </w:numPr>
        <w:rPr>
          <w:rFonts w:eastAsia="黑体"/>
          <w:sz w:val="32"/>
          <w:szCs w:val="32"/>
        </w:rPr>
      </w:pPr>
    </w:p>
    <w:p>
      <w:pPr>
        <w:pStyle w:val="18"/>
        <w:widowControl/>
        <w:ind w:firstLine="640"/>
        <w:rPr>
          <w:rFonts w:eastAsia="黑体"/>
          <w:sz w:val="32"/>
          <w:szCs w:val="32"/>
        </w:rPr>
      </w:pPr>
    </w:p>
    <w:p>
      <w:pPr>
        <w:pStyle w:val="18"/>
        <w:widowControl/>
        <w:ind w:firstLine="640"/>
        <w:rPr>
          <w:rFonts w:eastAsia="黑体"/>
          <w:sz w:val="32"/>
          <w:szCs w:val="32"/>
        </w:rPr>
      </w:pPr>
    </w:p>
    <w:p>
      <w:pPr>
        <w:pStyle w:val="18"/>
        <w:widowControl/>
        <w:ind w:firstLine="640"/>
        <w:rPr>
          <w:rFonts w:eastAsia="黑体"/>
          <w:sz w:val="32"/>
          <w:szCs w:val="32"/>
        </w:rPr>
      </w:pPr>
    </w:p>
    <w:p>
      <w:pPr>
        <w:pStyle w:val="18"/>
        <w:widowControl/>
        <w:ind w:firstLine="640"/>
        <w:rPr>
          <w:rFonts w:eastAsia="黑体"/>
          <w:sz w:val="32"/>
          <w:szCs w:val="32"/>
        </w:rPr>
      </w:pPr>
    </w:p>
    <w:p>
      <w:pPr>
        <w:pStyle w:val="18"/>
        <w:widowControl/>
        <w:ind w:firstLine="640"/>
        <w:rPr>
          <w:rFonts w:eastAsia="黑体"/>
          <w:sz w:val="32"/>
          <w:szCs w:val="32"/>
        </w:rPr>
      </w:pPr>
    </w:p>
    <w:p>
      <w:pPr>
        <w:pStyle w:val="18"/>
        <w:widowControl/>
        <w:rPr>
          <w:rFonts w:eastAsia="黑体"/>
          <w:sz w:val="32"/>
          <w:szCs w:val="32"/>
        </w:rPr>
      </w:pPr>
      <w:r>
        <w:rPr>
          <w:rFonts w:eastAsia="黑体"/>
          <w:sz w:val="32"/>
          <w:szCs w:val="32"/>
        </w:rPr>
        <w:t>二、一般公共预算支出情况</w:t>
      </w:r>
    </w:p>
    <w:p>
      <w:pPr>
        <w:spacing w:line="600" w:lineRule="exact"/>
        <w:ind w:firstLine="704" w:firstLineChars="220"/>
        <w:rPr>
          <w:rFonts w:eastAsia="楷体"/>
          <w:b/>
          <w:sz w:val="32"/>
          <w:szCs w:val="32"/>
        </w:rPr>
      </w:pPr>
      <w:r>
        <w:rPr>
          <w:rFonts w:eastAsia="楷体"/>
          <w:b/>
          <w:sz w:val="32"/>
          <w:szCs w:val="32"/>
        </w:rPr>
        <w:t>（一）基本支出情况</w:t>
      </w:r>
    </w:p>
    <w:p>
      <w:pPr>
        <w:spacing w:line="600" w:lineRule="exact"/>
        <w:ind w:firstLine="704" w:firstLineChars="220"/>
        <w:rPr>
          <w:rFonts w:hint="default" w:ascii="仿宋_GB2312" w:hAnsi="Verdana" w:eastAsia="仿宋_GB2312" w:cs="Times New Roman"/>
          <w:color w:val="auto"/>
          <w:sz w:val="32"/>
          <w:szCs w:val="32"/>
          <w:shd w:val="clear" w:color="auto" w:fill="FFFFFF"/>
          <w:lang w:val="en" w:eastAsia="zh-CN"/>
        </w:rPr>
      </w:pPr>
      <w:r>
        <w:rPr>
          <w:rFonts w:hint="eastAsia" w:ascii="仿宋_GB2312" w:hAnsi="Verdana" w:eastAsia="仿宋_GB2312" w:cs="Times New Roman"/>
          <w:color w:val="auto"/>
          <w:sz w:val="32"/>
          <w:szCs w:val="32"/>
          <w:shd w:val="clear" w:color="auto" w:fill="FFFFFF"/>
          <w:lang w:val="en-US" w:eastAsia="zh-CN"/>
        </w:rPr>
        <w:t>本年年初预算支出合计为2437.72万元,其中,一般公共服务支出</w:t>
      </w:r>
      <w:r>
        <w:rPr>
          <w:rFonts w:hint="default" w:ascii="仿宋_GB2312" w:hAnsi="Verdana" w:eastAsia="仿宋_GB2312" w:cs="Times New Roman"/>
          <w:color w:val="auto"/>
          <w:sz w:val="32"/>
          <w:szCs w:val="32"/>
          <w:highlight w:val="none"/>
          <w:shd w:val="clear" w:color="auto" w:fill="FFFFFF"/>
          <w:lang w:val="en" w:eastAsia="zh-CN"/>
        </w:rPr>
        <w:t>2289.98</w:t>
      </w:r>
      <w:r>
        <w:rPr>
          <w:rFonts w:hint="eastAsia" w:ascii="仿宋_GB2312" w:hAnsi="Verdana" w:eastAsia="仿宋_GB2312" w:cs="Times New Roman"/>
          <w:color w:val="auto"/>
          <w:sz w:val="32"/>
          <w:szCs w:val="32"/>
          <w:highlight w:val="none"/>
          <w:shd w:val="clear" w:color="auto" w:fill="FFFFFF"/>
          <w:lang w:val="en-US" w:eastAsia="zh-CN"/>
        </w:rPr>
        <w:t>万元,社会保障和就业支出</w:t>
      </w:r>
      <w:r>
        <w:rPr>
          <w:rFonts w:hint="default" w:ascii="仿宋_GB2312" w:hAnsi="Verdana" w:eastAsia="仿宋_GB2312" w:cs="Times New Roman"/>
          <w:color w:val="auto"/>
          <w:sz w:val="32"/>
          <w:szCs w:val="32"/>
          <w:highlight w:val="none"/>
          <w:shd w:val="clear" w:color="auto" w:fill="FFFFFF"/>
          <w:lang w:val="en" w:eastAsia="zh-CN"/>
        </w:rPr>
        <w:t>52.49</w:t>
      </w:r>
      <w:r>
        <w:rPr>
          <w:rFonts w:hint="eastAsia" w:ascii="仿宋_GB2312" w:hAnsi="Verdana" w:eastAsia="仿宋_GB2312" w:cs="Times New Roman"/>
          <w:color w:val="auto"/>
          <w:sz w:val="32"/>
          <w:szCs w:val="32"/>
          <w:highlight w:val="none"/>
          <w:shd w:val="clear" w:color="auto" w:fill="FFFFFF"/>
          <w:lang w:val="en-US" w:eastAsia="zh-CN"/>
        </w:rPr>
        <w:t>万元 ，卫生健康支出</w:t>
      </w:r>
      <w:r>
        <w:rPr>
          <w:rFonts w:hint="default" w:ascii="仿宋_GB2312" w:hAnsi="Verdana" w:eastAsia="仿宋_GB2312" w:cs="Times New Roman"/>
          <w:color w:val="auto"/>
          <w:sz w:val="32"/>
          <w:szCs w:val="32"/>
          <w:highlight w:val="none"/>
          <w:shd w:val="clear" w:color="auto" w:fill="FFFFFF"/>
          <w:lang w:val="en" w:eastAsia="zh-CN"/>
        </w:rPr>
        <w:t>55.88</w:t>
      </w:r>
      <w:r>
        <w:rPr>
          <w:rFonts w:hint="eastAsia" w:ascii="仿宋_GB2312" w:hAnsi="Verdana" w:eastAsia="仿宋_GB2312" w:cs="Times New Roman"/>
          <w:color w:val="auto"/>
          <w:sz w:val="32"/>
          <w:szCs w:val="32"/>
          <w:highlight w:val="none"/>
          <w:shd w:val="clear" w:color="auto" w:fill="FFFFFF"/>
          <w:lang w:val="en-US" w:eastAsia="zh-CN"/>
        </w:rPr>
        <w:t>万元,住房保障支出</w:t>
      </w:r>
      <w:r>
        <w:rPr>
          <w:rFonts w:hint="default" w:ascii="仿宋_GB2312" w:hAnsi="Verdana" w:eastAsia="仿宋_GB2312" w:cs="Times New Roman"/>
          <w:color w:val="auto"/>
          <w:sz w:val="32"/>
          <w:szCs w:val="32"/>
          <w:highlight w:val="none"/>
          <w:shd w:val="clear" w:color="auto" w:fill="FFFFFF"/>
          <w:lang w:val="en" w:eastAsia="zh-CN"/>
        </w:rPr>
        <w:t>39.37</w:t>
      </w:r>
      <w:r>
        <w:rPr>
          <w:rFonts w:hint="eastAsia" w:ascii="仿宋_GB2312" w:hAnsi="Verdana" w:eastAsia="仿宋_GB2312" w:cs="Times New Roman"/>
          <w:color w:val="auto"/>
          <w:sz w:val="32"/>
          <w:szCs w:val="32"/>
          <w:highlight w:val="none"/>
          <w:shd w:val="clear" w:color="auto" w:fill="FFFFFF"/>
          <w:lang w:val="en-US" w:eastAsia="zh-CN"/>
        </w:rPr>
        <w:t>万元。支出较去年增加</w:t>
      </w:r>
      <w:r>
        <w:rPr>
          <w:rFonts w:hint="default" w:ascii="仿宋_GB2312" w:hAnsi="Verdana" w:eastAsia="仿宋_GB2312" w:cs="Times New Roman"/>
          <w:color w:val="auto"/>
          <w:sz w:val="32"/>
          <w:szCs w:val="32"/>
          <w:highlight w:val="none"/>
          <w:shd w:val="clear" w:color="auto" w:fill="FFFFFF"/>
          <w:lang w:val="en" w:eastAsia="zh-CN"/>
        </w:rPr>
        <w:t>67.22</w:t>
      </w:r>
      <w:r>
        <w:rPr>
          <w:rFonts w:hint="eastAsia" w:ascii="仿宋_GB2312" w:hAnsi="Verdana" w:eastAsia="仿宋_GB2312" w:cs="Times New Roman"/>
          <w:color w:val="auto"/>
          <w:sz w:val="32"/>
          <w:szCs w:val="32"/>
          <w:highlight w:val="none"/>
          <w:shd w:val="clear" w:color="auto" w:fill="FFFFFF"/>
          <w:lang w:val="en-US" w:eastAsia="zh-CN"/>
        </w:rPr>
        <w:t>万元,主要是招投标资料档案改建费用。</w:t>
      </w:r>
    </w:p>
    <w:p>
      <w:pPr>
        <w:pStyle w:val="18"/>
        <w:widowControl/>
        <w:ind w:firstLine="643"/>
        <w:rPr>
          <w:rFonts w:hint="default" w:eastAsia="楷体"/>
          <w:b/>
          <w:sz w:val="32"/>
          <w:szCs w:val="32"/>
          <w:highlight w:val="yellow"/>
          <w:lang w:val="en-US"/>
        </w:rPr>
      </w:pPr>
      <w:r>
        <w:rPr>
          <w:rFonts w:hint="eastAsia" w:ascii="仿宋_GB2312" w:hAnsi="Verdana" w:eastAsia="仿宋_GB2312"/>
          <w:color w:val="auto"/>
          <w:sz w:val="32"/>
          <w:szCs w:val="32"/>
          <w:shd w:val="clear" w:color="auto" w:fill="FFFFFF"/>
          <w:lang w:val="en-US" w:eastAsia="zh-CN"/>
        </w:rPr>
        <w:t>2022年全年支出合计2601.03万元，比年初预算数增加6.69%。基本支出2187.54万元，项目支出413.49万元。其中：</w:t>
      </w:r>
      <w:r>
        <w:rPr>
          <w:rFonts w:hint="eastAsia" w:ascii="仿宋_GB2312" w:hAnsi="Verdana" w:eastAsia="仿宋_GB2312"/>
          <w:color w:val="auto"/>
          <w:sz w:val="32"/>
          <w:szCs w:val="32"/>
          <w:highlight w:val="none"/>
          <w:shd w:val="clear" w:color="auto" w:fill="FFFFFF"/>
          <w:lang w:val="en-US" w:eastAsia="zh-CN"/>
        </w:rPr>
        <w:t>工资福利支出906.95万元，占总支出的34.87%；商品和服务支出1283.54万元，占总支出的49.35%；对个人和家庭的补助23.28万元，占总支出的0.9%。其他资本性支出387.26万元，占总支出的14.88%。</w:t>
      </w:r>
    </w:p>
    <w:p>
      <w:pPr>
        <w:pStyle w:val="18"/>
        <w:widowControl/>
        <w:ind w:firstLine="643"/>
        <w:rPr>
          <w:rFonts w:eastAsia="楷体"/>
          <w:b/>
          <w:sz w:val="32"/>
          <w:szCs w:val="32"/>
        </w:rPr>
      </w:pPr>
      <w:r>
        <w:rPr>
          <w:rFonts w:eastAsia="楷体"/>
          <w:b/>
          <w:sz w:val="32"/>
          <w:szCs w:val="32"/>
        </w:rPr>
        <w:t>（二）项目支出情况</w:t>
      </w:r>
    </w:p>
    <w:p>
      <w:pPr>
        <w:pStyle w:val="18"/>
        <w:widowControl/>
        <w:numPr>
          <w:ilvl w:val="0"/>
          <w:numId w:val="0"/>
        </w:numPr>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本单位2022年全年项目总收入</w:t>
      </w:r>
      <w:r>
        <w:rPr>
          <w:rFonts w:hint="eastAsia" w:eastAsia="仿宋" w:cs="Times New Roman"/>
          <w:color w:val="000000"/>
          <w:kern w:val="2"/>
          <w:sz w:val="32"/>
          <w:szCs w:val="32"/>
          <w:lang w:val="en-US" w:eastAsia="zh-CN" w:bidi="ar-SA"/>
        </w:rPr>
        <w:t>572.29</w:t>
      </w:r>
      <w:r>
        <w:rPr>
          <w:rFonts w:hint="eastAsia" w:ascii="Times New Roman" w:hAnsi="Times New Roman" w:eastAsia="仿宋" w:cs="Times New Roman"/>
          <w:color w:val="000000"/>
          <w:kern w:val="2"/>
          <w:sz w:val="32"/>
          <w:szCs w:val="32"/>
          <w:lang w:val="en-US" w:eastAsia="zh-CN" w:bidi="ar-SA"/>
        </w:rPr>
        <w:t>万元，其中财政拨款收入57.6万元，上年末结转</w:t>
      </w:r>
      <w:r>
        <w:rPr>
          <w:rFonts w:hint="eastAsia" w:eastAsia="仿宋" w:cs="Times New Roman"/>
          <w:color w:val="000000"/>
          <w:kern w:val="2"/>
          <w:sz w:val="32"/>
          <w:szCs w:val="32"/>
          <w:lang w:val="en-US" w:eastAsia="zh-CN" w:bidi="ar-SA"/>
        </w:rPr>
        <w:t>253.73</w:t>
      </w:r>
      <w:r>
        <w:rPr>
          <w:rFonts w:hint="eastAsia" w:ascii="Times New Roman" w:hAnsi="Times New Roman" w:eastAsia="仿宋" w:cs="Times New Roman"/>
          <w:color w:val="000000"/>
          <w:kern w:val="2"/>
          <w:sz w:val="32"/>
          <w:szCs w:val="32"/>
          <w:lang w:val="en-US" w:eastAsia="zh-CN" w:bidi="ar-SA"/>
        </w:rPr>
        <w:t>万元，追加项目经费</w:t>
      </w:r>
      <w:r>
        <w:rPr>
          <w:rFonts w:hint="eastAsia" w:eastAsia="仿宋" w:cs="Times New Roman"/>
          <w:color w:val="000000"/>
          <w:kern w:val="2"/>
          <w:sz w:val="32"/>
          <w:szCs w:val="32"/>
          <w:lang w:val="en-US" w:eastAsia="zh-CN" w:bidi="ar-SA"/>
        </w:rPr>
        <w:t>260.96</w:t>
      </w:r>
      <w:r>
        <w:rPr>
          <w:rFonts w:hint="eastAsia" w:ascii="Times New Roman" w:hAnsi="Times New Roman" w:eastAsia="仿宋" w:cs="Times New Roman"/>
          <w:color w:val="000000"/>
          <w:kern w:val="2"/>
          <w:sz w:val="32"/>
          <w:szCs w:val="32"/>
          <w:lang w:val="en-US" w:eastAsia="zh-CN" w:bidi="ar-SA"/>
        </w:rPr>
        <w:t>万元；全年项目总支出</w:t>
      </w:r>
      <w:r>
        <w:rPr>
          <w:rFonts w:hint="eastAsia" w:eastAsia="仿宋" w:cs="Times New Roman"/>
          <w:color w:val="000000"/>
          <w:kern w:val="2"/>
          <w:sz w:val="32"/>
          <w:szCs w:val="32"/>
          <w:lang w:val="en-US" w:eastAsia="zh-CN" w:bidi="ar-SA"/>
        </w:rPr>
        <w:t>413.49</w:t>
      </w:r>
      <w:r>
        <w:rPr>
          <w:rFonts w:hint="eastAsia" w:ascii="Times New Roman" w:hAnsi="Times New Roman" w:eastAsia="仿宋" w:cs="Times New Roman"/>
          <w:color w:val="000000"/>
          <w:kern w:val="2"/>
          <w:sz w:val="32"/>
          <w:szCs w:val="32"/>
          <w:lang w:val="en-US" w:eastAsia="zh-CN" w:bidi="ar-SA"/>
        </w:rPr>
        <w:t>元，其中专项资金</w:t>
      </w:r>
      <w:r>
        <w:rPr>
          <w:rFonts w:hint="eastAsia" w:eastAsia="仿宋" w:cs="Times New Roman"/>
          <w:color w:val="000000"/>
          <w:kern w:val="2"/>
          <w:sz w:val="32"/>
          <w:szCs w:val="32"/>
          <w:lang w:val="en-US" w:eastAsia="zh-CN" w:bidi="ar-SA"/>
        </w:rPr>
        <w:t>251.82</w:t>
      </w:r>
      <w:r>
        <w:rPr>
          <w:rFonts w:hint="eastAsia" w:ascii="Times New Roman" w:hAnsi="Times New Roman" w:eastAsia="仿宋" w:cs="Times New Roman"/>
          <w:color w:val="000000"/>
          <w:kern w:val="2"/>
          <w:sz w:val="32"/>
          <w:szCs w:val="32"/>
          <w:lang w:val="en-US" w:eastAsia="zh-CN" w:bidi="ar-SA"/>
        </w:rPr>
        <w:t>万元，其他项目资金</w:t>
      </w:r>
      <w:r>
        <w:rPr>
          <w:rFonts w:hint="eastAsia" w:eastAsia="仿宋" w:cs="Times New Roman"/>
          <w:color w:val="000000"/>
          <w:kern w:val="2"/>
          <w:sz w:val="32"/>
          <w:szCs w:val="32"/>
          <w:lang w:val="en-US" w:eastAsia="zh-CN" w:bidi="ar-SA"/>
        </w:rPr>
        <w:t>161.67</w:t>
      </w:r>
      <w:r>
        <w:rPr>
          <w:rFonts w:hint="eastAsia" w:ascii="Times New Roman" w:hAnsi="Times New Roman" w:eastAsia="仿宋" w:cs="Times New Roman"/>
          <w:color w:val="000000"/>
          <w:kern w:val="2"/>
          <w:sz w:val="32"/>
          <w:szCs w:val="32"/>
          <w:lang w:val="en-US" w:eastAsia="zh-CN" w:bidi="ar-SA"/>
        </w:rPr>
        <w:t>万元。年末结余项目资金</w:t>
      </w:r>
      <w:r>
        <w:rPr>
          <w:rFonts w:hint="eastAsia" w:eastAsia="仿宋" w:cs="Times New Roman"/>
          <w:color w:val="000000"/>
          <w:kern w:val="2"/>
          <w:sz w:val="32"/>
          <w:szCs w:val="32"/>
          <w:lang w:val="en-US" w:eastAsia="zh-CN" w:bidi="ar-SA"/>
        </w:rPr>
        <w:t>158.8万元，其中158.8</w:t>
      </w:r>
      <w:r>
        <w:rPr>
          <w:rFonts w:hint="eastAsia" w:ascii="Times New Roman" w:hAnsi="Times New Roman" w:eastAsia="仿宋" w:cs="Times New Roman"/>
          <w:color w:val="000000"/>
          <w:kern w:val="2"/>
          <w:sz w:val="32"/>
          <w:szCs w:val="32"/>
          <w:lang w:val="en-US" w:eastAsia="zh-CN" w:bidi="ar-SA"/>
        </w:rPr>
        <w:t>万元需跨年度使用。</w:t>
      </w:r>
    </w:p>
    <w:p>
      <w:pPr>
        <w:ind w:firstLine="640" w:firstLineChars="200"/>
        <w:jc w:val="left"/>
        <w:rPr>
          <w:rFonts w:hint="default" w:ascii="仿宋" w:hAnsi="仿宋" w:eastAsia="仿宋" w:cs="仿宋"/>
          <w:sz w:val="32"/>
          <w:szCs w:val="32"/>
          <w:lang w:val="en-US" w:eastAsia="zh-CN"/>
        </w:rPr>
      </w:pPr>
      <w:r>
        <w:rPr>
          <w:rFonts w:hint="eastAsia" w:ascii="Times New Roman" w:hAnsi="Times New Roman" w:eastAsia="仿宋" w:cs="Times New Roman"/>
          <w:color w:val="000000"/>
          <w:kern w:val="2"/>
          <w:sz w:val="32"/>
          <w:szCs w:val="32"/>
          <w:lang w:val="en-US" w:eastAsia="zh-CN" w:bidi="ar-SA"/>
        </w:rPr>
        <w:t>专项资金</w:t>
      </w:r>
      <w:r>
        <w:rPr>
          <w:rFonts w:hint="eastAsia" w:ascii="仿宋" w:hAnsi="仿宋" w:eastAsia="仿宋" w:cs="仿宋"/>
          <w:sz w:val="32"/>
          <w:szCs w:val="32"/>
          <w:lang w:val="en-US" w:eastAsia="zh-CN"/>
        </w:rPr>
        <w:t>包括“一张网”电子化平台项目、中心职工工作服购置、招投标资料档案室改建项目、政府采购全流程电子化。其中“一张网”电子化平台项目已支付532.64万元，剩余62.56万元未支付；中心职工服装购置已支付51.9万元，剩余1.6万元质保金未支付；招投标资料档案室改建项目已支付40.95万元，剩余1.49万元质保金未支付。</w:t>
      </w:r>
    </w:p>
    <w:p>
      <w:pPr>
        <w:widowControl/>
        <w:ind w:firstLine="640" w:firstLineChars="200"/>
        <w:rPr>
          <w:rFonts w:ascii="Times New Roman" w:hAnsi="Times New Roman" w:eastAsia="仿宋"/>
          <w:sz w:val="32"/>
          <w:szCs w:val="32"/>
        </w:rPr>
      </w:pPr>
      <w:r>
        <w:rPr>
          <w:rFonts w:hint="eastAsia" w:ascii="仿宋" w:hAnsi="仿宋" w:eastAsia="仿宋" w:cs="仿宋"/>
          <w:sz w:val="32"/>
          <w:szCs w:val="32"/>
          <w:lang w:val="en-US" w:eastAsia="zh-CN"/>
        </w:rPr>
        <w:t>其他项目支出一是中心网站信息化运维租赁等费用117.03万元；二是支付以前年度信息化项目尾款44.64万元。</w:t>
      </w:r>
    </w:p>
    <w:p>
      <w:pPr>
        <w:pStyle w:val="18"/>
        <w:widowControl/>
        <w:rPr>
          <w:rFonts w:hint="eastAsia" w:eastAsia="黑体"/>
          <w:sz w:val="32"/>
          <w:szCs w:val="32"/>
          <w:lang w:eastAsia="zh-CN"/>
        </w:rPr>
      </w:pPr>
      <w:r>
        <w:rPr>
          <w:rFonts w:hint="eastAsia" w:eastAsia="黑体"/>
          <w:sz w:val="32"/>
          <w:szCs w:val="32"/>
          <w:lang w:eastAsia="zh-CN"/>
        </w:rPr>
        <w:t>三</w:t>
      </w:r>
      <w:r>
        <w:rPr>
          <w:rFonts w:hint="eastAsia" w:eastAsia="黑体"/>
          <w:sz w:val="32"/>
          <w:szCs w:val="32"/>
          <w:lang w:val="en-US" w:eastAsia="zh-CN"/>
        </w:rPr>
        <w:t xml:space="preserve"> 、</w:t>
      </w:r>
      <w:r>
        <w:rPr>
          <w:rFonts w:eastAsia="黑体"/>
          <w:sz w:val="32"/>
          <w:szCs w:val="32"/>
        </w:rPr>
        <w:t>政府性基金预算支出情况</w:t>
      </w:r>
    </w:p>
    <w:p>
      <w:pPr>
        <w:pStyle w:val="18"/>
        <w:widowControl/>
        <w:rPr>
          <w:rFonts w:hint="eastAsia" w:eastAsia="黑体"/>
          <w:sz w:val="32"/>
          <w:szCs w:val="32"/>
          <w:lang w:eastAsia="zh-CN"/>
        </w:rPr>
      </w:pPr>
      <w:r>
        <w:rPr>
          <w:rFonts w:hint="eastAsia" w:eastAsia="黑体"/>
          <w:sz w:val="32"/>
          <w:szCs w:val="32"/>
          <w:lang w:eastAsia="zh-CN"/>
        </w:rPr>
        <w:t>无</w:t>
      </w:r>
    </w:p>
    <w:p>
      <w:pPr>
        <w:pStyle w:val="18"/>
        <w:widowControl/>
        <w:rPr>
          <w:rFonts w:eastAsia="黑体"/>
          <w:sz w:val="32"/>
          <w:szCs w:val="32"/>
        </w:rPr>
      </w:pPr>
      <w:r>
        <w:rPr>
          <w:rFonts w:hint="eastAsia" w:eastAsia="黑体"/>
          <w:sz w:val="32"/>
          <w:szCs w:val="32"/>
          <w:lang w:eastAsia="zh-CN"/>
        </w:rPr>
        <w:t>四、</w:t>
      </w:r>
      <w:r>
        <w:rPr>
          <w:rFonts w:eastAsia="黑体"/>
          <w:sz w:val="32"/>
          <w:szCs w:val="32"/>
        </w:rPr>
        <w:t>国有资本经营预算支出情况</w:t>
      </w:r>
    </w:p>
    <w:p>
      <w:pPr>
        <w:pStyle w:val="18"/>
        <w:widowControl/>
        <w:rPr>
          <w:rFonts w:eastAsia="黑体"/>
          <w:sz w:val="32"/>
          <w:szCs w:val="32"/>
        </w:rPr>
      </w:pPr>
      <w:r>
        <w:rPr>
          <w:rFonts w:hint="eastAsia" w:eastAsia="黑体"/>
          <w:sz w:val="32"/>
          <w:szCs w:val="32"/>
          <w:lang w:eastAsia="zh-CN"/>
        </w:rPr>
        <w:t>无</w:t>
      </w:r>
    </w:p>
    <w:p>
      <w:pPr>
        <w:pStyle w:val="18"/>
        <w:widowControl/>
        <w:rPr>
          <w:rFonts w:eastAsia="黑体"/>
          <w:sz w:val="32"/>
          <w:szCs w:val="32"/>
        </w:rPr>
      </w:pPr>
      <w:r>
        <w:rPr>
          <w:rFonts w:hint="eastAsia" w:eastAsia="黑体"/>
          <w:sz w:val="32"/>
          <w:szCs w:val="32"/>
          <w:lang w:eastAsia="zh-CN"/>
        </w:rPr>
        <w:t>五、</w:t>
      </w:r>
      <w:r>
        <w:rPr>
          <w:rFonts w:eastAsia="黑体"/>
          <w:sz w:val="32"/>
          <w:szCs w:val="32"/>
        </w:rPr>
        <w:t>社会保险基金预算支出情况</w:t>
      </w:r>
    </w:p>
    <w:p>
      <w:pPr>
        <w:pStyle w:val="18"/>
        <w:widowControl/>
        <w:rPr>
          <w:rFonts w:eastAsia="黑体"/>
          <w:sz w:val="32"/>
          <w:szCs w:val="32"/>
        </w:rPr>
      </w:pPr>
      <w:r>
        <w:rPr>
          <w:rFonts w:hint="eastAsia" w:eastAsia="黑体"/>
          <w:sz w:val="32"/>
          <w:szCs w:val="32"/>
          <w:lang w:eastAsia="zh-CN"/>
        </w:rPr>
        <w:t>无</w:t>
      </w:r>
    </w:p>
    <w:p>
      <w:pPr>
        <w:pStyle w:val="18"/>
        <w:widowControl/>
        <w:rPr>
          <w:rFonts w:eastAsia="黑体"/>
          <w:sz w:val="32"/>
          <w:szCs w:val="32"/>
        </w:rPr>
      </w:pPr>
      <w:r>
        <w:rPr>
          <w:rFonts w:hint="eastAsia" w:eastAsia="黑体"/>
          <w:sz w:val="32"/>
          <w:szCs w:val="32"/>
          <w:lang w:eastAsia="zh-CN"/>
        </w:rPr>
        <w:t>六、</w:t>
      </w:r>
      <w:r>
        <w:rPr>
          <w:rFonts w:eastAsia="黑体"/>
          <w:sz w:val="32"/>
          <w:szCs w:val="32"/>
        </w:rPr>
        <w:t>部门整体支出绩效情况</w:t>
      </w:r>
    </w:p>
    <w:p>
      <w:pPr>
        <w:spacing w:line="600" w:lineRule="exact"/>
        <w:ind w:firstLine="704" w:firstLineChars="220"/>
        <w:rPr>
          <w:rFonts w:hint="eastAsia" w:ascii="仿宋_GB2312" w:hAnsi="Verdana" w:eastAsia="仿宋_GB2312"/>
          <w:b/>
          <w:bCs/>
          <w:color w:val="000000"/>
          <w:sz w:val="32"/>
          <w:szCs w:val="32"/>
          <w:shd w:val="clear" w:color="auto" w:fill="FFFFFF"/>
          <w:lang w:val="en-US" w:eastAsia="zh-CN"/>
        </w:rPr>
      </w:pPr>
      <w:r>
        <w:rPr>
          <w:rFonts w:hint="eastAsia" w:ascii="仿宋_GB2312" w:hAnsi="Verdana" w:eastAsia="仿宋_GB2312"/>
          <w:b/>
          <w:bCs/>
          <w:color w:val="000000"/>
          <w:sz w:val="32"/>
          <w:szCs w:val="32"/>
          <w:shd w:val="clear" w:color="auto" w:fill="FFFFFF"/>
          <w:lang w:val="en-US" w:eastAsia="zh-CN"/>
        </w:rPr>
        <w:t>1、执行情况</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设立的整体绩效目标符合国家法律法规、国民经济和社会发展总体规划,符合“三定”方案确定的职责与</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制定的中长期实施规划</w:t>
      </w:r>
      <w:r>
        <w:rPr>
          <w:rFonts w:hint="eastAsia" w:ascii="仿宋_GB2312" w:hAnsi="Verdana" w:eastAsia="仿宋_GB2312"/>
          <w:color w:val="000000"/>
          <w:sz w:val="32"/>
          <w:szCs w:val="32"/>
          <w:shd w:val="clear" w:color="auto" w:fill="FFFFFF"/>
          <w:lang w:eastAsia="zh-CN"/>
        </w:rPr>
        <w:t>；</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设定的绩效指标清晰、细化、可衡量，与</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年度的任务数相对应，并与本年度</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预算资金相匹配</w:t>
      </w:r>
      <w:r>
        <w:rPr>
          <w:rFonts w:hint="eastAsia" w:ascii="仿宋_GB2312" w:hAnsi="Verdana" w:eastAsia="仿宋_GB2312"/>
          <w:color w:val="000000"/>
          <w:sz w:val="32"/>
          <w:szCs w:val="32"/>
          <w:shd w:val="clear" w:color="auto" w:fill="FFFFFF"/>
          <w:lang w:eastAsia="zh-CN"/>
        </w:rPr>
        <w:t>；</w:t>
      </w: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lang w:val="en-US" w:eastAsia="zh-CN"/>
        </w:rPr>
        <w:t>2022</w:t>
      </w:r>
      <w:r>
        <w:rPr>
          <w:rFonts w:hint="eastAsia" w:ascii="仿宋_GB2312" w:hAnsi="Verdana" w:eastAsia="仿宋_GB2312"/>
          <w:color w:val="000000"/>
          <w:sz w:val="32"/>
          <w:szCs w:val="32"/>
          <w:shd w:val="clear" w:color="auto" w:fill="FFFFFF"/>
        </w:rPr>
        <w:t>年年末实际在职人员为</w:t>
      </w:r>
      <w:r>
        <w:rPr>
          <w:rFonts w:hint="eastAsia" w:ascii="仿宋_GB2312" w:hAnsi="Verdana" w:eastAsia="仿宋_GB2312"/>
          <w:color w:val="000000"/>
          <w:sz w:val="32"/>
          <w:szCs w:val="32"/>
          <w:shd w:val="clear" w:color="auto" w:fill="FFFFFF"/>
          <w:lang w:val="en-US" w:eastAsia="zh-CN"/>
        </w:rPr>
        <w:t>54</w:t>
      </w:r>
      <w:r>
        <w:rPr>
          <w:rFonts w:hint="eastAsia" w:ascii="仿宋_GB2312" w:hAnsi="Verdana" w:eastAsia="仿宋_GB2312"/>
          <w:color w:val="000000"/>
          <w:sz w:val="32"/>
          <w:szCs w:val="32"/>
          <w:shd w:val="clear" w:color="auto" w:fill="FFFFFF"/>
        </w:rPr>
        <w:t>人，编委核定的编制人数为</w:t>
      </w:r>
      <w:r>
        <w:rPr>
          <w:rFonts w:hint="eastAsia" w:ascii="仿宋_GB2312" w:hAnsi="Verdana" w:eastAsia="仿宋_GB2312"/>
          <w:color w:val="000000"/>
          <w:sz w:val="32"/>
          <w:szCs w:val="32"/>
          <w:shd w:val="clear" w:color="auto" w:fill="FFFFFF"/>
          <w:lang w:val="en-US" w:eastAsia="zh-CN"/>
        </w:rPr>
        <w:t>63</w:t>
      </w:r>
      <w:r>
        <w:rPr>
          <w:rFonts w:hint="eastAsia" w:ascii="仿宋_GB2312" w:hAnsi="Verdana" w:eastAsia="仿宋_GB2312"/>
          <w:color w:val="000000"/>
          <w:sz w:val="32"/>
          <w:szCs w:val="32"/>
          <w:shd w:val="clear" w:color="auto" w:fill="FFFFFF"/>
        </w:rPr>
        <w:t>人，实际在职人员数占编委核定的编制数的比率＝（在职人员数÷编制数）×100%＝</w:t>
      </w:r>
      <w:r>
        <w:rPr>
          <w:rFonts w:hint="eastAsia" w:ascii="仿宋_GB2312" w:hAnsi="Verdana" w:eastAsia="仿宋_GB2312"/>
          <w:color w:val="000000"/>
          <w:sz w:val="32"/>
          <w:szCs w:val="32"/>
          <w:shd w:val="clear" w:color="auto" w:fill="FFFFFF"/>
          <w:lang w:val="en-US" w:eastAsia="zh-CN"/>
        </w:rPr>
        <w:t>85.71</w:t>
      </w:r>
      <w:r>
        <w:rPr>
          <w:rFonts w:hint="eastAsia" w:ascii="仿宋_GB2312" w:hAnsi="Verdana" w:eastAsia="仿宋_GB2312"/>
          <w:color w:val="000000"/>
          <w:sz w:val="32"/>
          <w:szCs w:val="32"/>
          <w:shd w:val="clear" w:color="auto" w:fill="FFFFFF"/>
        </w:rPr>
        <w:t>%&lt;100%，</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对人员成本的控制程度符合规定要求</w:t>
      </w:r>
      <w:r>
        <w:rPr>
          <w:rFonts w:hint="eastAsia" w:ascii="仿宋_GB2312" w:hAnsi="Verdana" w:eastAsia="仿宋_GB2312"/>
          <w:color w:val="000000"/>
          <w:sz w:val="32"/>
          <w:szCs w:val="32"/>
          <w:shd w:val="clear" w:color="auto" w:fill="FFFFFF"/>
          <w:lang w:eastAsia="zh-CN"/>
        </w:rPr>
        <w:t>。</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lang w:val="en-US" w:eastAsia="zh-CN"/>
        </w:rPr>
        <w:t>2022</w:t>
      </w:r>
      <w:r>
        <w:rPr>
          <w:rFonts w:hint="eastAsia" w:ascii="仿宋_GB2312" w:hAnsi="Verdana" w:eastAsia="仿宋_GB2312"/>
          <w:color w:val="000000"/>
          <w:sz w:val="32"/>
          <w:szCs w:val="32"/>
          <w:shd w:val="clear" w:color="auto" w:fill="FFFFFF"/>
        </w:rPr>
        <w:t>年度本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预算安排“三公经费”总额为</w:t>
      </w:r>
      <w:r>
        <w:rPr>
          <w:rFonts w:hint="eastAsia" w:ascii="仿宋_GB2312" w:hAnsi="Verdana" w:eastAsia="仿宋_GB2312"/>
          <w:color w:val="000000"/>
          <w:sz w:val="32"/>
          <w:szCs w:val="32"/>
          <w:shd w:val="clear" w:color="auto" w:fill="FFFFFF"/>
          <w:lang w:val="en-US" w:eastAsia="zh-CN"/>
        </w:rPr>
        <w:t>10.3</w:t>
      </w:r>
      <w:r>
        <w:rPr>
          <w:rFonts w:hint="eastAsia" w:ascii="仿宋_GB2312" w:hAnsi="Verdana" w:eastAsia="仿宋_GB2312"/>
          <w:color w:val="000000"/>
          <w:sz w:val="32"/>
          <w:szCs w:val="32"/>
          <w:shd w:val="clear" w:color="auto" w:fill="FFFFFF"/>
        </w:rPr>
        <w:t>万元，而</w:t>
      </w:r>
      <w:r>
        <w:rPr>
          <w:rFonts w:hint="eastAsia" w:ascii="仿宋_GB2312" w:hAnsi="Verdana" w:eastAsia="仿宋_GB2312"/>
          <w:color w:val="000000"/>
          <w:sz w:val="32"/>
          <w:szCs w:val="32"/>
          <w:shd w:val="clear" w:color="auto" w:fill="FFFFFF"/>
          <w:lang w:val="en-US" w:eastAsia="zh-CN"/>
        </w:rPr>
        <w:t>2021</w:t>
      </w:r>
      <w:r>
        <w:rPr>
          <w:rFonts w:hint="eastAsia" w:ascii="仿宋_GB2312" w:hAnsi="Verdana" w:eastAsia="仿宋_GB2312"/>
          <w:color w:val="000000"/>
          <w:sz w:val="32"/>
          <w:szCs w:val="32"/>
          <w:shd w:val="clear" w:color="auto" w:fill="FFFFFF"/>
        </w:rPr>
        <w:t>年度预算安排的“三公经费”总额为</w:t>
      </w:r>
      <w:r>
        <w:rPr>
          <w:rFonts w:hint="eastAsia" w:ascii="仿宋_GB2312" w:hAnsi="Verdana" w:eastAsia="仿宋_GB2312"/>
          <w:color w:val="000000"/>
          <w:sz w:val="32"/>
          <w:szCs w:val="32"/>
          <w:shd w:val="clear" w:color="auto" w:fill="FFFFFF"/>
          <w:lang w:val="en-US" w:eastAsia="zh-CN"/>
        </w:rPr>
        <w:t>11.6</w:t>
      </w:r>
      <w:r>
        <w:rPr>
          <w:rFonts w:hint="eastAsia" w:ascii="仿宋_GB2312" w:hAnsi="Verdana" w:eastAsia="仿宋_GB2312"/>
          <w:color w:val="000000"/>
          <w:sz w:val="32"/>
          <w:szCs w:val="32"/>
          <w:shd w:val="clear" w:color="auto" w:fill="FFFFFF"/>
        </w:rPr>
        <w:t>万元。本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“三公经费”变动率＝（本年度“三公经费”预算数－上年度“三公经费”预算数）÷上年度“三公经费预算数”＝-</w:t>
      </w:r>
      <w:r>
        <w:rPr>
          <w:rFonts w:hint="eastAsia" w:ascii="仿宋_GB2312" w:hAnsi="Verdana" w:eastAsia="仿宋_GB2312"/>
          <w:color w:val="000000"/>
          <w:sz w:val="32"/>
          <w:szCs w:val="32"/>
          <w:shd w:val="clear" w:color="auto" w:fill="FFFFFF"/>
          <w:lang w:val="en-US" w:eastAsia="zh-CN"/>
        </w:rPr>
        <w:t>11.2</w:t>
      </w:r>
      <w:r>
        <w:rPr>
          <w:rFonts w:hint="eastAsia" w:ascii="仿宋_GB2312" w:hAnsi="Verdana" w:eastAsia="仿宋_GB2312"/>
          <w:color w:val="000000"/>
          <w:sz w:val="32"/>
          <w:szCs w:val="32"/>
          <w:shd w:val="clear" w:color="auto" w:fill="FFFFFF"/>
        </w:rPr>
        <w:t>%≤0</w:t>
      </w:r>
      <w:r>
        <w:rPr>
          <w:rFonts w:hint="eastAsia" w:ascii="仿宋_GB2312" w:hAnsi="Verdana" w:eastAsia="仿宋_GB2312"/>
          <w:color w:val="000000"/>
          <w:sz w:val="32"/>
          <w:szCs w:val="32"/>
          <w:shd w:val="clear" w:color="auto" w:fill="FFFFFF"/>
          <w:lang w:eastAsia="zh-CN"/>
        </w:rPr>
        <w:t>。</w:t>
      </w:r>
    </w:p>
    <w:p>
      <w:pPr>
        <w:spacing w:line="600" w:lineRule="exact"/>
        <w:ind w:firstLine="704" w:firstLineChars="220"/>
        <w:rPr>
          <w:rFonts w:hint="eastAsia" w:ascii="仿宋" w:hAnsi="仿宋" w:eastAsia="仿宋"/>
          <w:b/>
          <w:color w:val="000000"/>
          <w:sz w:val="32"/>
          <w:szCs w:val="32"/>
        </w:rPr>
      </w:pPr>
      <w:r>
        <w:rPr>
          <w:rFonts w:hint="eastAsia" w:ascii="仿宋_GB2312" w:hAnsi="Verdana" w:eastAsia="仿宋_GB2312"/>
          <w:sz w:val="32"/>
          <w:szCs w:val="32"/>
          <w:shd w:val="clear" w:color="auto" w:fill="FFFFFF"/>
        </w:rPr>
        <w:t>本</w:t>
      </w:r>
      <w:r>
        <w:rPr>
          <w:rFonts w:hint="eastAsia" w:ascii="仿宋_GB2312" w:hAnsi="Verdana" w:eastAsia="仿宋_GB2312"/>
          <w:sz w:val="32"/>
          <w:szCs w:val="32"/>
          <w:shd w:val="clear" w:color="auto" w:fill="FFFFFF"/>
          <w:lang w:eastAsia="zh-CN"/>
        </w:rPr>
        <w:t>单位</w:t>
      </w:r>
      <w:r>
        <w:rPr>
          <w:rFonts w:ascii="仿宋_GB2312" w:hAnsi="Verdana" w:eastAsia="仿宋_GB2312"/>
          <w:sz w:val="32"/>
          <w:szCs w:val="32"/>
          <w:shd w:val="clear" w:color="auto" w:fill="FFFFFF"/>
        </w:rPr>
        <w:t>建立了各项管理制度</w:t>
      </w:r>
      <w:r>
        <w:rPr>
          <w:rFonts w:hint="eastAsia" w:ascii="仿宋_GB2312" w:hAnsi="Verdana" w:eastAsia="仿宋_GB2312"/>
          <w:sz w:val="32"/>
          <w:szCs w:val="32"/>
          <w:shd w:val="clear" w:color="auto" w:fill="FFFFFF"/>
        </w:rPr>
        <w:t>，其中包括</w:t>
      </w:r>
      <w:r>
        <w:rPr>
          <w:rFonts w:ascii="仿宋_GB2312" w:hAnsi="Verdana" w:eastAsia="仿宋_GB2312"/>
          <w:sz w:val="32"/>
          <w:szCs w:val="32"/>
          <w:shd w:val="clear" w:color="auto" w:fill="FFFFFF"/>
        </w:rPr>
        <w:fldChar w:fldCharType="begin"/>
      </w:r>
      <w:r>
        <w:rPr>
          <w:rFonts w:ascii="仿宋_GB2312" w:hAnsi="Verdana" w:eastAsia="仿宋_GB2312"/>
          <w:sz w:val="32"/>
          <w:szCs w:val="32"/>
          <w:shd w:val="clear" w:color="auto" w:fill="FFFFFF"/>
        </w:rPr>
        <w:instrText xml:space="preserve"> HYPERLINK "http://ggzyjy.xxz.gov.cn/fwdh/glzd/202003/t20200305_1608362.html" \o "关于印发《湘西州公共资源现场交易见证员管理制度（修订）》《网站平台管理办法（修订）》等两项制度的通知" \t "_blank" </w:instrText>
      </w:r>
      <w:r>
        <w:rPr>
          <w:rFonts w:ascii="仿宋_GB2312" w:hAnsi="Verdana" w:eastAsia="仿宋_GB2312"/>
          <w:sz w:val="32"/>
          <w:szCs w:val="32"/>
          <w:shd w:val="clear" w:color="auto" w:fill="FFFFFF"/>
        </w:rPr>
        <w:fldChar w:fldCharType="separate"/>
      </w:r>
      <w:r>
        <w:rPr>
          <w:rFonts w:hint="eastAsia" w:ascii="仿宋_GB2312" w:hAnsi="Verdana" w:eastAsia="仿宋_GB2312"/>
          <w:sz w:val="32"/>
          <w:szCs w:val="32"/>
          <w:shd w:val="clear" w:color="auto" w:fill="FFFFFF"/>
        </w:rPr>
        <w:t>《</w:t>
      </w:r>
      <w:r>
        <w:rPr>
          <w:rFonts w:hint="eastAsia" w:ascii="仿宋_GB2312" w:hAnsi="Verdana" w:eastAsia="仿宋_GB2312"/>
          <w:sz w:val="32"/>
          <w:szCs w:val="32"/>
          <w:shd w:val="clear" w:color="auto" w:fill="FFFFFF"/>
          <w:lang w:eastAsia="zh-CN"/>
        </w:rPr>
        <w:t>衡阳市</w:t>
      </w:r>
      <w:r>
        <w:rPr>
          <w:rFonts w:hint="eastAsia" w:ascii="仿宋_GB2312" w:hAnsi="Verdana" w:eastAsia="仿宋_GB2312"/>
          <w:sz w:val="32"/>
          <w:szCs w:val="32"/>
          <w:shd w:val="clear" w:color="auto" w:fill="FFFFFF"/>
        </w:rPr>
        <w:t>公共资源现场交易见证员管理制度（修订）》、《网站平台管理办法（修订）》</w:t>
      </w:r>
      <w:r>
        <w:rPr>
          <w:rFonts w:ascii="仿宋_GB2312" w:hAnsi="Verdana" w:eastAsia="仿宋_GB2312"/>
          <w:sz w:val="32"/>
          <w:szCs w:val="32"/>
          <w:shd w:val="clear" w:color="auto" w:fill="FFFFFF"/>
        </w:rPr>
        <w:fldChar w:fldCharType="end"/>
      </w:r>
      <w:r>
        <w:rPr>
          <w:rFonts w:hint="eastAsia" w:ascii="仿宋_GB2312" w:hAnsi="Verdana" w:eastAsia="仿宋_GB2312"/>
          <w:sz w:val="32"/>
          <w:szCs w:val="32"/>
          <w:shd w:val="clear" w:color="auto" w:fill="FFFFFF"/>
        </w:rPr>
        <w:t>、《财务管理制度》等。管理制度合法、合规、完整，管理制度得到有效执行</w:t>
      </w:r>
      <w:r>
        <w:rPr>
          <w:rFonts w:hint="eastAsia" w:ascii="仿宋_GB2312" w:hAnsi="Verdana" w:eastAsia="仿宋_GB2312"/>
          <w:color w:val="000000"/>
          <w:sz w:val="32"/>
          <w:szCs w:val="32"/>
          <w:shd w:val="clear" w:color="auto" w:fill="FFFFFF"/>
        </w:rPr>
        <w:t>。</w:t>
      </w:r>
    </w:p>
    <w:p>
      <w:pPr>
        <w:spacing w:line="600" w:lineRule="exact"/>
        <w:ind w:firstLine="704" w:firstLineChars="220"/>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支出符合国家财经法规和财务管理制度规定以及有关专项资金管理办法的规定，资金的拨付有完整的审批过程和手续，项目的支出按三重一大和议事决策流程规定经过集体决策，支出符合</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预算批复的用途，资金使用无截留、挤占、虚列支出</w:t>
      </w:r>
      <w:r>
        <w:rPr>
          <w:rFonts w:hint="eastAsia" w:ascii="仿宋_GB2312" w:hAnsi="Verdana" w:eastAsia="仿宋_GB2312"/>
          <w:color w:val="000000"/>
          <w:sz w:val="32"/>
          <w:szCs w:val="32"/>
          <w:shd w:val="clear" w:color="auto" w:fill="FFFFFF"/>
          <w:lang w:eastAsia="zh-CN"/>
        </w:rPr>
        <w:t>，</w:t>
      </w:r>
      <w:r>
        <w:rPr>
          <w:rFonts w:hint="eastAsia" w:ascii="仿宋_GB2312" w:hAnsi="Verdana" w:eastAsia="仿宋_GB2312"/>
          <w:color w:val="000000"/>
          <w:sz w:val="32"/>
          <w:szCs w:val="32"/>
          <w:shd w:val="clear" w:color="auto" w:fill="FFFFFF"/>
          <w:lang w:val="en-US" w:eastAsia="zh-CN"/>
        </w:rPr>
        <w:t>有</w:t>
      </w:r>
      <w:r>
        <w:rPr>
          <w:rFonts w:hint="eastAsia" w:ascii="仿宋_GB2312" w:hAnsi="Verdana" w:eastAsia="仿宋_GB2312"/>
          <w:color w:val="000000"/>
          <w:sz w:val="32"/>
          <w:szCs w:val="32"/>
          <w:shd w:val="clear" w:color="auto" w:fill="FFFFFF"/>
        </w:rPr>
        <w:t>挪用</w:t>
      </w:r>
      <w:r>
        <w:rPr>
          <w:rFonts w:hint="eastAsia" w:ascii="仿宋_GB2312" w:hAnsi="Verdana" w:eastAsia="仿宋_GB2312"/>
          <w:color w:val="000000"/>
          <w:sz w:val="32"/>
          <w:szCs w:val="32"/>
          <w:shd w:val="clear" w:color="auto" w:fill="FFFFFF"/>
          <w:lang w:val="en-US" w:eastAsia="zh-CN"/>
        </w:rPr>
        <w:t>行政经费</w:t>
      </w:r>
      <w:r>
        <w:rPr>
          <w:rFonts w:hint="eastAsia" w:ascii="仿宋_GB2312" w:hAnsi="Verdana" w:eastAsia="仿宋_GB2312"/>
          <w:color w:val="000000"/>
          <w:sz w:val="32"/>
          <w:szCs w:val="32"/>
          <w:shd w:val="clear" w:color="auto" w:fill="FFFFFF"/>
        </w:rPr>
        <w:t>等情况。</w:t>
      </w:r>
    </w:p>
    <w:p>
      <w:pPr>
        <w:spacing w:line="600" w:lineRule="exact"/>
        <w:ind w:firstLine="704" w:firstLineChars="220"/>
        <w:rPr>
          <w:rFonts w:hint="eastAsia" w:ascii="仿宋" w:hAnsi="仿宋" w:eastAsia="仿宋"/>
          <w:b/>
          <w:color w:val="000000"/>
          <w:sz w:val="32"/>
          <w:szCs w:val="32"/>
        </w:rPr>
      </w:pPr>
      <w:r>
        <w:rPr>
          <w:rFonts w:hint="eastAsia" w:ascii="仿宋_GB2312" w:hAnsi="Verdana" w:eastAsia="仿宋_GB2312"/>
          <w:color w:val="000000"/>
          <w:sz w:val="32"/>
          <w:szCs w:val="32"/>
          <w:shd w:val="clear" w:color="auto" w:fill="FFFFFF"/>
        </w:rPr>
        <w:t>本部门已制定资产管理制度，且相关资产管理制度合法、合规、完整；相关资产管理制度得到有效执行。</w:t>
      </w:r>
    </w:p>
    <w:p>
      <w:pPr>
        <w:spacing w:line="600" w:lineRule="exact"/>
        <w:ind w:firstLine="704" w:firstLineChars="220"/>
        <w:rPr>
          <w:rFonts w:hint="default" w:ascii="仿宋_GB2312" w:hAnsi="Verdana" w:eastAsia="仿宋_GB2312"/>
          <w:b/>
          <w:bCs/>
          <w:color w:val="000000"/>
          <w:sz w:val="32"/>
          <w:szCs w:val="32"/>
          <w:shd w:val="clear" w:color="auto" w:fill="FFFFFF"/>
          <w:lang w:val="en-US" w:eastAsia="zh-CN"/>
        </w:rPr>
      </w:pPr>
      <w:r>
        <w:rPr>
          <w:rFonts w:hint="eastAsia" w:ascii="仿宋_GB2312" w:hAnsi="Verdana" w:eastAsia="仿宋_GB2312"/>
          <w:b/>
          <w:bCs/>
          <w:color w:val="000000"/>
          <w:sz w:val="32"/>
          <w:szCs w:val="32"/>
          <w:shd w:val="clear" w:color="auto" w:fill="FFFFFF"/>
          <w:lang w:val="en-US" w:eastAsia="zh-CN"/>
        </w:rPr>
        <w:t>2、取得效果</w:t>
      </w:r>
    </w:p>
    <w:p>
      <w:pPr>
        <w:widowControl/>
        <w:spacing w:line="600" w:lineRule="exact"/>
        <w:ind w:firstLine="640" w:firstLineChars="200"/>
        <w:jc w:val="left"/>
        <w:outlineLvl w:val="2"/>
        <w:rPr>
          <w:rFonts w:hint="eastAsia" w:ascii="仿宋" w:hAnsi="仿宋" w:eastAsia="仿宋"/>
          <w:b/>
          <w:sz w:val="32"/>
          <w:szCs w:val="32"/>
        </w:rPr>
      </w:pPr>
      <w:bookmarkStart w:id="0" w:name="_Toc7715"/>
      <w:bookmarkStart w:id="1" w:name="_Toc6403_WPSOffice_Level3"/>
      <w:bookmarkStart w:id="2" w:name="_Toc9235"/>
      <w:r>
        <w:rPr>
          <w:rFonts w:hint="eastAsia" w:ascii="仿宋" w:hAnsi="仿宋" w:eastAsia="仿宋"/>
          <w:b/>
          <w:sz w:val="32"/>
          <w:szCs w:val="32"/>
        </w:rPr>
        <w:t>（</w:t>
      </w:r>
      <w:r>
        <w:rPr>
          <w:rFonts w:hint="eastAsia" w:ascii="仿宋" w:hAnsi="仿宋" w:eastAsia="仿宋"/>
          <w:b/>
          <w:sz w:val="32"/>
          <w:szCs w:val="32"/>
          <w:lang w:val="en-US" w:eastAsia="zh-CN"/>
        </w:rPr>
        <w:t>1</w:t>
      </w:r>
      <w:r>
        <w:rPr>
          <w:rFonts w:hint="eastAsia" w:ascii="仿宋" w:hAnsi="仿宋" w:eastAsia="仿宋"/>
          <w:b/>
          <w:sz w:val="32"/>
          <w:szCs w:val="32"/>
        </w:rPr>
        <w:t>）履职效益</w:t>
      </w:r>
      <w:bookmarkEnd w:id="0"/>
      <w:bookmarkEnd w:id="1"/>
      <w:bookmarkEnd w:id="2"/>
    </w:p>
    <w:p>
      <w:pPr>
        <w:widowControl/>
        <w:spacing w:line="600" w:lineRule="exact"/>
        <w:ind w:firstLine="640" w:firstLineChars="200"/>
        <w:jc w:val="left"/>
        <w:rPr>
          <w:rFonts w:hint="eastAsia" w:ascii="仿宋" w:hAnsi="仿宋" w:eastAsia="仿宋"/>
          <w:b/>
          <w:sz w:val="32"/>
          <w:szCs w:val="32"/>
        </w:rPr>
      </w:pPr>
      <w:r>
        <w:rPr>
          <w:rFonts w:hint="eastAsia" w:ascii="仿宋" w:hAnsi="仿宋" w:eastAsia="仿宋"/>
          <w:b/>
          <w:sz w:val="32"/>
          <w:szCs w:val="32"/>
        </w:rPr>
        <w:t>①</w:t>
      </w:r>
      <w:r>
        <w:rPr>
          <w:rFonts w:hint="eastAsia" w:ascii="仿宋" w:hAnsi="仿宋" w:eastAsia="仿宋"/>
          <w:b/>
          <w:sz w:val="32"/>
          <w:szCs w:val="32"/>
          <w:lang w:val="en-US" w:eastAsia="zh-CN"/>
        </w:rPr>
        <w:t>经济、社会、生态</w:t>
      </w:r>
      <w:r>
        <w:rPr>
          <w:rFonts w:hint="eastAsia" w:ascii="仿宋" w:hAnsi="仿宋" w:eastAsia="仿宋"/>
          <w:b/>
          <w:sz w:val="32"/>
          <w:szCs w:val="32"/>
        </w:rPr>
        <w:t>效益</w:t>
      </w:r>
    </w:p>
    <w:p>
      <w:pPr>
        <w:spacing w:line="600" w:lineRule="exact"/>
        <w:ind w:firstLine="704" w:firstLineChars="220"/>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一年来，我中心坚持以习近平新时代中国特色社会主义思想为指引，在</w:t>
      </w:r>
      <w:r>
        <w:rPr>
          <w:rFonts w:hint="eastAsia" w:ascii="仿宋_GB2312" w:hAnsi="Verdana" w:eastAsia="仿宋_GB2312"/>
          <w:color w:val="000000"/>
          <w:sz w:val="32"/>
          <w:szCs w:val="32"/>
          <w:shd w:val="clear" w:color="auto" w:fill="FFFFFF"/>
          <w:lang w:eastAsia="zh-CN"/>
        </w:rPr>
        <w:t>市</w:t>
      </w:r>
      <w:r>
        <w:rPr>
          <w:rFonts w:hint="eastAsia" w:ascii="仿宋_GB2312" w:hAnsi="Verdana" w:eastAsia="仿宋_GB2312"/>
          <w:color w:val="000000"/>
          <w:sz w:val="32"/>
          <w:szCs w:val="32"/>
          <w:shd w:val="clear" w:color="auto" w:fill="FFFFFF"/>
        </w:rPr>
        <w:t>委、</w:t>
      </w:r>
      <w:r>
        <w:rPr>
          <w:rFonts w:hint="eastAsia" w:ascii="仿宋_GB2312" w:hAnsi="Verdana" w:eastAsia="仿宋_GB2312"/>
          <w:color w:val="000000"/>
          <w:sz w:val="32"/>
          <w:szCs w:val="32"/>
          <w:shd w:val="clear" w:color="auto" w:fill="FFFFFF"/>
          <w:lang w:eastAsia="zh-CN"/>
        </w:rPr>
        <w:t>市</w:t>
      </w:r>
      <w:r>
        <w:rPr>
          <w:rFonts w:hint="eastAsia" w:ascii="仿宋_GB2312" w:hAnsi="Verdana" w:eastAsia="仿宋_GB2312"/>
          <w:color w:val="000000"/>
          <w:sz w:val="32"/>
          <w:szCs w:val="32"/>
          <w:shd w:val="clear" w:color="auto" w:fill="FFFFFF"/>
        </w:rPr>
        <w:t>政府的坚强领导下，进一步突出公共服务职能定位，狠抓交易场地功能化、现场管理精细化、交易行为规范化、交易流程电子化，促进平台服务标准化建设，取得一定成效。</w:t>
      </w:r>
    </w:p>
    <w:p>
      <w:pPr>
        <w:spacing w:line="600" w:lineRule="exact"/>
        <w:ind w:firstLine="704" w:firstLineChars="220"/>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rPr>
        <w:t>综合服务标准化进一步规范。抓线下咨询服务，对进场项目的形式仅实行要件审核，及时发布入场项目公告，入场项目招标文件挂网时间限定在1个工作日。结合《绿色通道》《项目回访制度》，业务办理即来即办。抓线上咨询服务，创新“一站式服务模式”，落实“最多跑一次”或“零跑路”，政府集中采购、产权交易、国土资源、水利工程、网上商城等均实现了“不见面交易”。落实“三减五自助”，即减少环节，减缩时限，减低成本；实现自助注册入场，自助下载交易文件，自助抽取专家，自助交易公开，自助网上交易。取消投标报名环节、取消招标文件审查、取消交易资料封存，压低交易服务费，大大缩短交易时间</w:t>
      </w:r>
      <w:r>
        <w:rPr>
          <w:rFonts w:hint="eastAsia" w:ascii="仿宋_GB2312" w:hAnsi="Verdana" w:eastAsia="仿宋_GB2312"/>
          <w:color w:val="000000"/>
          <w:sz w:val="32"/>
          <w:szCs w:val="32"/>
          <w:shd w:val="clear" w:color="auto" w:fill="FFFFFF"/>
          <w:lang w:eastAsia="zh-CN"/>
        </w:rPr>
        <w:t>。</w:t>
      </w:r>
    </w:p>
    <w:p>
      <w:pPr>
        <w:widowControl/>
        <w:spacing w:line="600" w:lineRule="exact"/>
        <w:ind w:firstLine="640" w:firstLineChars="200"/>
        <w:jc w:val="left"/>
        <w:rPr>
          <w:rFonts w:hint="eastAsia" w:ascii="仿宋" w:hAnsi="仿宋" w:eastAsia="仿宋"/>
          <w:b/>
          <w:sz w:val="32"/>
          <w:szCs w:val="32"/>
        </w:rPr>
      </w:pPr>
      <w:r>
        <w:rPr>
          <w:rFonts w:hint="eastAsia" w:ascii="仿宋" w:hAnsi="仿宋" w:eastAsia="仿宋"/>
          <w:b/>
          <w:sz w:val="32"/>
          <w:szCs w:val="32"/>
          <w:lang w:val="en-US" w:eastAsia="zh-CN"/>
        </w:rPr>
        <w:t>②</w:t>
      </w:r>
      <w:r>
        <w:rPr>
          <w:rFonts w:hint="eastAsia" w:ascii="仿宋" w:hAnsi="仿宋" w:eastAsia="仿宋"/>
          <w:b/>
          <w:sz w:val="32"/>
          <w:szCs w:val="32"/>
        </w:rPr>
        <w:t>行政效能</w:t>
      </w:r>
    </w:p>
    <w:p>
      <w:pPr>
        <w:spacing w:line="600" w:lineRule="exact"/>
        <w:ind w:firstLine="704" w:firstLineChars="220"/>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eastAsia="zh-CN"/>
        </w:rPr>
        <w:t>2022</w:t>
      </w:r>
      <w:r>
        <w:rPr>
          <w:rFonts w:ascii="仿宋_GB2312" w:hAnsi="Verdana" w:eastAsia="仿宋_GB2312"/>
          <w:color w:val="000000"/>
          <w:sz w:val="32"/>
          <w:szCs w:val="32"/>
          <w:shd w:val="clear" w:color="auto" w:fill="FFFFFF"/>
        </w:rPr>
        <w:t>年本</w:t>
      </w:r>
      <w:r>
        <w:rPr>
          <w:rFonts w:hint="eastAsia" w:ascii="仿宋_GB2312" w:hAnsi="Verdana" w:eastAsia="仿宋_GB2312"/>
          <w:color w:val="000000"/>
          <w:sz w:val="32"/>
          <w:szCs w:val="32"/>
          <w:shd w:val="clear" w:color="auto" w:fill="FFFFFF"/>
          <w:lang w:eastAsia="zh-CN"/>
        </w:rPr>
        <w:t>单位</w:t>
      </w:r>
      <w:r>
        <w:rPr>
          <w:rFonts w:ascii="仿宋_GB2312" w:hAnsi="Verdana" w:eastAsia="仿宋_GB2312"/>
          <w:color w:val="000000"/>
          <w:sz w:val="32"/>
          <w:szCs w:val="32"/>
          <w:shd w:val="clear" w:color="auto" w:fill="FFFFFF"/>
        </w:rPr>
        <w:t>不断改善行政管理，建设精细化管理体系，推进服务流程标准化，严格落实中央</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八项规定</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及省、</w:t>
      </w:r>
      <w:r>
        <w:rPr>
          <w:rFonts w:hint="eastAsia" w:ascii="仿宋_GB2312" w:hAnsi="Verdana" w:eastAsia="仿宋_GB2312"/>
          <w:color w:val="000000"/>
          <w:sz w:val="32"/>
          <w:szCs w:val="32"/>
          <w:shd w:val="clear" w:color="auto" w:fill="FFFFFF"/>
          <w:lang w:eastAsia="zh-CN"/>
        </w:rPr>
        <w:t>市</w:t>
      </w:r>
      <w:r>
        <w:rPr>
          <w:rFonts w:ascii="仿宋_GB2312" w:hAnsi="Verdana" w:eastAsia="仿宋_GB2312"/>
          <w:color w:val="000000"/>
          <w:sz w:val="32"/>
          <w:szCs w:val="32"/>
          <w:shd w:val="clear" w:color="auto" w:fill="FFFFFF"/>
        </w:rPr>
        <w:t>相关规定，积极开展</w:t>
      </w:r>
      <w:r>
        <w:rPr>
          <w:rFonts w:hint="eastAsia" w:ascii="仿宋_GB2312" w:hAnsi="Verdana" w:eastAsia="仿宋_GB2312"/>
          <w:color w:val="000000"/>
          <w:sz w:val="32"/>
          <w:szCs w:val="32"/>
          <w:shd w:val="clear" w:color="auto" w:fill="FFFFFF"/>
        </w:rPr>
        <w:t>“不忘初心、牢记使命”主题</w:t>
      </w:r>
      <w:r>
        <w:rPr>
          <w:rFonts w:ascii="仿宋_GB2312" w:hAnsi="Verdana" w:eastAsia="仿宋_GB2312"/>
          <w:color w:val="000000"/>
          <w:sz w:val="32"/>
          <w:szCs w:val="32"/>
          <w:shd w:val="clear" w:color="auto" w:fill="FFFFFF"/>
        </w:rPr>
        <w:t>教育，</w:t>
      </w:r>
      <w:r>
        <w:rPr>
          <w:rFonts w:hint="eastAsia" w:ascii="仿宋_GB2312" w:hAnsi="Verdana" w:eastAsia="仿宋_GB2312"/>
          <w:color w:val="000000"/>
          <w:sz w:val="32"/>
          <w:szCs w:val="32"/>
          <w:shd w:val="clear" w:color="auto" w:fill="FFFFFF"/>
        </w:rPr>
        <w:t>进一步全面落实意识形态工作责任制，严格按照“会前自学、专题辅导、中心发言、交流讨论、小结点评、综述”等6环节开展党组理论学习</w:t>
      </w:r>
      <w:r>
        <w:rPr>
          <w:rFonts w:hint="eastAsia" w:ascii="仿宋_GB2312" w:hAnsi="Verdana" w:eastAsia="仿宋_GB2312"/>
          <w:color w:val="auto"/>
          <w:sz w:val="32"/>
          <w:szCs w:val="32"/>
          <w:shd w:val="clear" w:color="auto" w:fill="FFFFFF"/>
        </w:rPr>
        <w:t>中心组学习</w:t>
      </w:r>
      <w:r>
        <w:rPr>
          <w:rFonts w:hint="eastAsia" w:ascii="仿宋_GB2312" w:hAnsi="Verdana" w:eastAsia="仿宋_GB2312"/>
          <w:color w:val="auto"/>
          <w:sz w:val="32"/>
          <w:szCs w:val="32"/>
          <w:shd w:val="clear" w:color="auto" w:fill="FFFFFF"/>
          <w:lang w:val="en-US" w:eastAsia="zh-CN"/>
        </w:rPr>
        <w:t>7</w:t>
      </w:r>
      <w:r>
        <w:rPr>
          <w:rFonts w:hint="eastAsia" w:ascii="仿宋_GB2312" w:hAnsi="Verdana" w:eastAsia="仿宋_GB2312"/>
          <w:color w:val="auto"/>
          <w:sz w:val="32"/>
          <w:szCs w:val="32"/>
          <w:shd w:val="clear" w:color="auto" w:fill="FFFFFF"/>
        </w:rPr>
        <w:t>次</w:t>
      </w:r>
      <w:r>
        <w:rPr>
          <w:rFonts w:hint="eastAsia" w:ascii="仿宋_GB2312" w:hAnsi="Verdana" w:eastAsia="仿宋_GB2312"/>
          <w:color w:val="auto"/>
          <w:sz w:val="32"/>
          <w:szCs w:val="32"/>
          <w:shd w:val="clear" w:color="auto" w:fill="FFFFFF"/>
          <w:lang w:eastAsia="zh-CN"/>
        </w:rPr>
        <w:t>，</w:t>
      </w:r>
      <w:r>
        <w:rPr>
          <w:rFonts w:hint="eastAsia" w:ascii="仿宋_GB2312" w:hAnsi="Verdana" w:eastAsia="仿宋_GB2312"/>
          <w:color w:val="000000"/>
          <w:sz w:val="32"/>
          <w:szCs w:val="32"/>
          <w:shd w:val="clear" w:color="auto" w:fill="FFFFFF"/>
        </w:rPr>
        <w:t>深入开展省级文明窗口</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和</w:t>
      </w:r>
      <w:r>
        <w:rPr>
          <w:rFonts w:hint="eastAsia" w:ascii="仿宋_GB2312" w:hAnsi="Verdana" w:eastAsia="仿宋_GB2312"/>
          <w:color w:val="000000"/>
          <w:sz w:val="32"/>
          <w:szCs w:val="32"/>
          <w:shd w:val="clear" w:color="auto" w:fill="FFFFFF"/>
          <w:lang w:eastAsia="zh-CN"/>
        </w:rPr>
        <w:t>市</w:t>
      </w:r>
      <w:r>
        <w:rPr>
          <w:rFonts w:hint="eastAsia" w:ascii="仿宋_GB2312" w:hAnsi="Verdana" w:eastAsia="仿宋_GB2312"/>
          <w:color w:val="000000"/>
          <w:sz w:val="32"/>
          <w:szCs w:val="32"/>
          <w:shd w:val="clear" w:color="auto" w:fill="FFFFFF"/>
        </w:rPr>
        <w:t>级文明标兵</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创建工作，后台创建得分100分。</w:t>
      </w:r>
      <w:r>
        <w:rPr>
          <w:rFonts w:ascii="仿宋_GB2312" w:hAnsi="Verdana" w:eastAsia="仿宋_GB2312"/>
          <w:color w:val="000000"/>
          <w:sz w:val="32"/>
          <w:szCs w:val="32"/>
          <w:shd w:val="clear" w:color="auto" w:fill="FFFFFF"/>
        </w:rPr>
        <w:t>切实加强干部作风建设，改进文风会风，精简会议、文件，严格资产管理和经费使用，积极推动网上办事和政务公开，行政效率较高，行政成本进一步降低，</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三公经费</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较上年有所降低</w:t>
      </w:r>
      <w:r>
        <w:rPr>
          <w:rFonts w:hint="eastAsia" w:ascii="仿宋_GB2312" w:hAnsi="Verdana" w:eastAsia="仿宋_GB2312"/>
          <w:color w:val="000000"/>
          <w:sz w:val="32"/>
          <w:szCs w:val="32"/>
          <w:shd w:val="clear" w:color="auto" w:fill="FFFFFF"/>
        </w:rPr>
        <w:t>。</w:t>
      </w:r>
    </w:p>
    <w:p>
      <w:pPr>
        <w:widowControl/>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lang w:val="en-US" w:eastAsia="zh-CN"/>
        </w:rPr>
        <w:t>③</w:t>
      </w:r>
      <w:r>
        <w:rPr>
          <w:rFonts w:hint="eastAsia" w:ascii="仿宋" w:hAnsi="仿宋" w:eastAsia="仿宋"/>
          <w:b/>
          <w:color w:val="000000"/>
          <w:sz w:val="32"/>
          <w:szCs w:val="32"/>
        </w:rPr>
        <w:t>社会公众或服务对象满意度</w:t>
      </w:r>
    </w:p>
    <w:p>
      <w:pPr>
        <w:widowControl/>
        <w:spacing w:line="600" w:lineRule="exact"/>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本次绩效自评，我们向社会公众、本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内部员工发放问卷调查</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份（本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员工10份、社会公众</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份），从收回的问卷调查了解，社会公众我本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的工作现状评价、深入基层调查研究，倾听群众意见、服务承诺以及服务态度、服务质量等各方面均给予了满意的评价，社会满意度为98%</w:t>
      </w:r>
      <w:r>
        <w:rPr>
          <w:rFonts w:hint="eastAsia" w:ascii="仿宋" w:hAnsi="仿宋" w:eastAsia="仿宋"/>
          <w:color w:val="000000"/>
          <w:sz w:val="32"/>
          <w:szCs w:val="32"/>
          <w:lang w:eastAsia="zh-CN"/>
        </w:rPr>
        <w:t>。</w:t>
      </w:r>
    </w:p>
    <w:p>
      <w:pPr>
        <w:pStyle w:val="18"/>
        <w:widowControl/>
        <w:numPr>
          <w:ilvl w:val="0"/>
          <w:numId w:val="2"/>
        </w:numPr>
        <w:ind w:firstLine="640"/>
        <w:rPr>
          <w:rFonts w:eastAsia="黑体"/>
          <w:sz w:val="32"/>
          <w:szCs w:val="32"/>
        </w:rPr>
      </w:pPr>
      <w:r>
        <w:rPr>
          <w:rFonts w:eastAsia="黑体"/>
          <w:sz w:val="32"/>
          <w:szCs w:val="32"/>
        </w:rPr>
        <w:t>存在的问题及原因分析</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预算绩效管理不完善。</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1.</w:t>
      </w:r>
      <w:r>
        <w:rPr>
          <w:rFonts w:hint="eastAsia" w:ascii="仿宋_GB2312" w:hAnsi="Verdana" w:eastAsia="仿宋_GB2312"/>
          <w:color w:val="000000"/>
          <w:sz w:val="32"/>
          <w:szCs w:val="32"/>
          <w:shd w:val="clear" w:color="auto" w:fill="FFFFFF"/>
          <w:lang w:eastAsia="zh-CN"/>
        </w:rPr>
        <w:t>预算执行还不够严格。还存在</w:t>
      </w:r>
      <w:r>
        <w:rPr>
          <w:rFonts w:hint="eastAsia" w:ascii="仿宋_GB2312" w:hAnsi="Verdana" w:eastAsia="仿宋_GB2312"/>
          <w:color w:val="000000"/>
          <w:sz w:val="32"/>
          <w:szCs w:val="32"/>
          <w:shd w:val="clear" w:color="auto" w:fill="FFFFFF"/>
          <w:lang w:val="en-US" w:eastAsia="zh-CN"/>
        </w:rPr>
        <w:t>随意调剂资金用途、对预算资金的使用情况没有进行跟踪问效。</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default" w:ascii="仿宋_GB2312" w:hAnsi="Verdana" w:eastAsia="仿宋_GB2312"/>
          <w:color w:val="000000"/>
          <w:sz w:val="32"/>
          <w:szCs w:val="32"/>
          <w:shd w:val="clear" w:color="auto" w:fill="FFFFFF"/>
          <w:lang w:val="en" w:eastAsia="zh-CN"/>
        </w:rPr>
        <w:t>2.</w:t>
      </w:r>
      <w:r>
        <w:rPr>
          <w:rFonts w:hint="eastAsia" w:ascii="仿宋_GB2312" w:hAnsi="Verdana" w:eastAsia="仿宋_GB2312"/>
          <w:color w:val="000000"/>
          <w:sz w:val="32"/>
          <w:szCs w:val="32"/>
          <w:shd w:val="clear" w:color="auto" w:fill="FFFFFF"/>
          <w:lang w:val="en-US" w:eastAsia="zh-CN"/>
        </w:rPr>
        <w:t>会计核算欠规范。</w:t>
      </w:r>
    </w:p>
    <w:p>
      <w:pPr>
        <w:widowControl/>
        <w:numPr>
          <w:ilvl w:val="0"/>
          <w:numId w:val="0"/>
        </w:numPr>
        <w:spacing w:line="600" w:lineRule="exact"/>
        <w:ind w:firstLine="960" w:firstLineChars="3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同一类型支出经济分类不统一，会计凭证中存在</w:t>
      </w:r>
      <w:r>
        <w:rPr>
          <w:rFonts w:hint="eastAsia" w:ascii="仿宋_GB2312" w:hAnsi="Verdana" w:eastAsia="仿宋_GB2312"/>
          <w:color w:val="000000"/>
          <w:sz w:val="32"/>
          <w:szCs w:val="32"/>
          <w:shd w:val="clear" w:color="auto" w:fill="FFFFFF"/>
        </w:rPr>
        <w:t>将同一</w:t>
      </w:r>
      <w:r>
        <w:rPr>
          <w:rFonts w:hint="eastAsia" w:ascii="仿宋_GB2312" w:hAnsi="Verdana" w:eastAsia="仿宋_GB2312"/>
          <w:color w:val="000000"/>
          <w:sz w:val="32"/>
          <w:szCs w:val="32"/>
          <w:shd w:val="clear" w:color="auto" w:fill="FFFFFF"/>
          <w:lang w:val="en-US" w:eastAsia="zh-CN"/>
        </w:rPr>
        <w:t>类型</w:t>
      </w:r>
      <w:r>
        <w:rPr>
          <w:rFonts w:hint="eastAsia" w:ascii="仿宋_GB2312" w:hAnsi="Verdana" w:eastAsia="仿宋_GB2312"/>
          <w:color w:val="000000"/>
          <w:sz w:val="32"/>
          <w:szCs w:val="32"/>
          <w:shd w:val="clear" w:color="auto" w:fill="FFFFFF"/>
        </w:rPr>
        <w:t>支出在不同</w:t>
      </w:r>
      <w:r>
        <w:rPr>
          <w:rFonts w:hint="eastAsia" w:ascii="仿宋_GB2312" w:hAnsi="Verdana" w:eastAsia="仿宋_GB2312"/>
          <w:color w:val="000000"/>
          <w:sz w:val="32"/>
          <w:szCs w:val="32"/>
          <w:shd w:val="clear" w:color="auto" w:fill="FFFFFF"/>
          <w:lang w:val="en-US" w:eastAsia="zh-CN"/>
        </w:rPr>
        <w:t>经济分类中</w:t>
      </w:r>
      <w:r>
        <w:rPr>
          <w:rFonts w:hint="eastAsia" w:ascii="仿宋_GB2312" w:hAnsi="Verdana" w:eastAsia="仿宋_GB2312"/>
          <w:color w:val="000000"/>
          <w:sz w:val="32"/>
          <w:szCs w:val="32"/>
          <w:shd w:val="clear" w:color="auto" w:fill="FFFFFF"/>
        </w:rPr>
        <w:t>核算</w:t>
      </w:r>
    </w:p>
    <w:p>
      <w:pPr>
        <w:widowControl/>
        <w:numPr>
          <w:ilvl w:val="0"/>
          <w:numId w:val="0"/>
        </w:numPr>
        <w:spacing w:line="600" w:lineRule="exact"/>
        <w:ind w:firstLine="960" w:firstLineChars="3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核算科目经济分类不准确等现象。存在经济分类较混乱，不明确的现象。</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3</w:t>
      </w:r>
      <w:r>
        <w:rPr>
          <w:rFonts w:hint="default" w:ascii="仿宋_GB2312" w:hAnsi="Verdana" w:eastAsia="仿宋_GB2312"/>
          <w:color w:val="000000"/>
          <w:sz w:val="32"/>
          <w:szCs w:val="32"/>
          <w:shd w:val="clear" w:color="auto" w:fill="FFFFFF"/>
          <w:lang w:val="en" w:eastAsia="zh-CN"/>
        </w:rPr>
        <w:t>.</w:t>
      </w:r>
      <w:r>
        <w:rPr>
          <w:rFonts w:hint="eastAsia" w:ascii="仿宋_GB2312" w:hAnsi="Verdana" w:eastAsia="仿宋_GB2312"/>
          <w:color w:val="000000"/>
          <w:sz w:val="32"/>
          <w:szCs w:val="32"/>
          <w:shd w:val="clear" w:color="auto" w:fill="FFFFFF"/>
          <w:lang w:val="en-US" w:eastAsia="zh-CN"/>
        </w:rPr>
        <w:t>固定资产核算不够规范。</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固定资产的配置不够合理。</w:t>
      </w:r>
      <w:r>
        <w:rPr>
          <w:rFonts w:hint="eastAsia" w:ascii="仿宋_GB2312" w:hAnsi="Verdana" w:eastAsia="仿宋_GB2312"/>
          <w:color w:val="000000"/>
          <w:sz w:val="32"/>
          <w:szCs w:val="32"/>
          <w:shd w:val="clear" w:color="auto" w:fill="FFFFFF"/>
          <w:lang w:eastAsia="zh-CN"/>
        </w:rPr>
        <w:t>没有</w:t>
      </w:r>
      <w:r>
        <w:rPr>
          <w:rFonts w:hint="eastAsia" w:ascii="仿宋_GB2312" w:hAnsi="Verdana" w:eastAsia="仿宋_GB2312"/>
          <w:color w:val="000000"/>
          <w:sz w:val="32"/>
          <w:szCs w:val="32"/>
          <w:shd w:val="clear" w:color="auto" w:fill="FFFFFF"/>
          <w:lang w:val="en-US" w:eastAsia="zh-CN"/>
        </w:rPr>
        <w:t>定期对固定资产的使用情况进行分析，固定资产利用率还不高，固定资产的调出、处置、报废、报损等没有严格按照有关规定进行办理。</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val="en-US" w:eastAsia="zh-CN"/>
        </w:rPr>
        <w:t>固定资产管理不规范。信息化项目没有全面验收，也未逐年计入资产台账，如中心付城建投信息化建设费用、给付新点公司交易系统开发费用</w:t>
      </w:r>
      <w:r>
        <w:rPr>
          <w:rFonts w:hint="default" w:ascii="仿宋_GB2312" w:hAnsi="Verdana" w:eastAsia="仿宋_GB2312"/>
          <w:color w:val="000000"/>
          <w:sz w:val="32"/>
          <w:szCs w:val="32"/>
          <w:shd w:val="clear" w:color="auto" w:fill="FFFFFF"/>
          <w:lang w:val="en" w:eastAsia="zh-CN"/>
        </w:rPr>
        <w:t>;</w:t>
      </w:r>
      <w:r>
        <w:rPr>
          <w:rFonts w:hint="eastAsia" w:ascii="仿宋_GB2312" w:hAnsi="Verdana" w:eastAsia="仿宋_GB2312"/>
          <w:color w:val="000000"/>
          <w:sz w:val="32"/>
          <w:szCs w:val="32"/>
          <w:shd w:val="clear" w:color="auto" w:fill="FFFFFF"/>
          <w:lang w:val="en-US" w:eastAsia="zh-CN"/>
        </w:rPr>
        <w:t>低值易耗品管理较松散。</w:t>
      </w:r>
      <w:r>
        <w:rPr>
          <w:rFonts w:hint="eastAsia" w:ascii="仿宋_GB2312" w:hAnsi="Verdana" w:eastAsia="仿宋_GB2312"/>
          <w:color w:val="000000"/>
          <w:sz w:val="32"/>
          <w:szCs w:val="32"/>
          <w:shd w:val="clear" w:color="auto" w:fill="FFFFFF"/>
        </w:rPr>
        <w:t>对办公用品、耗材等物资的管理目前登记台</w:t>
      </w:r>
      <w:r>
        <w:rPr>
          <w:rFonts w:hint="eastAsia" w:ascii="仿宋_GB2312" w:hAnsi="Verdana" w:eastAsia="仿宋_GB2312"/>
          <w:color w:val="000000"/>
          <w:sz w:val="32"/>
          <w:szCs w:val="32"/>
          <w:shd w:val="clear" w:color="auto" w:fill="FFFFFF"/>
          <w:lang w:eastAsia="zh-CN"/>
        </w:rPr>
        <w:t>账</w:t>
      </w:r>
      <w:r>
        <w:rPr>
          <w:rFonts w:hint="eastAsia" w:ascii="仿宋_GB2312" w:hAnsi="Verdana" w:eastAsia="仿宋_GB2312"/>
          <w:color w:val="000000"/>
          <w:sz w:val="32"/>
          <w:szCs w:val="32"/>
          <w:shd w:val="clear" w:color="auto" w:fill="FFFFFF"/>
        </w:rPr>
        <w:t>不能及时反映具体品类入库、出库、结存数量。</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一、扎实做好预算编制。一是提高预算编制的科学性、合理性、严谨性和可控性。预算编制范围尽可能的全面、不漏项，在编制基本支出预算时，充分考虑单位人员、岗位、薪级、工龄变化等因素，减少基本支出调整率，编制预算时参考上年支出的实际情况对本年度预算进行调整，对于实际支出超出预算的项目考虑适当调增，对于实际支出小于预算的项目，下年度预算适当调减。二是改变严预算、松追加的分配观念。从根本上减少或杜绝预算执行中的追加，对确实需要追加预算经费的，尽可能考虑从本单位的其他经费项目累计结余额中调剂使用，这样一来可以简化追加预算手续，同时可以降低预算单位预算资金累计结余额，提高预算资金使用效益。</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二、加强预算执行的日常控制与监督。一是建立多层次算监督体系，将预算编制、审批、执行、变更、决算、监督等各个环节进行规范化管理，实现对财政资金全方位、全过程的控制和监督。严格控制基本支出与项目支出，两项经费间不得随意挤占和挪用。</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val="en-US" w:eastAsia="zh-CN"/>
        </w:rPr>
        <w:t>三、提升固定资产管理水平，确保国有资产安全完整。一是加强固定资产的会计核算工作，定期或不定期对固定资产进行全面清查。要及时登记固定资产增减变动情况，对单位价值低的固定资产，按实际情况，可转入存货进行管理，并进行相应的账务调整，确保账、卡、实相符；定期对固定资产的使用情况进行分析，合理配置固定资产，提高固定资产利用率,固定资产的调出、处置、报废、报损应严格按照有关规定经审批后再办理。</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pPr>
        <w:widowControl/>
        <w:ind w:firstLine="960" w:firstLineChars="300"/>
        <w:rPr>
          <w:rFonts w:hint="eastAsia" w:ascii="Times New Roman" w:hAnsi="Times New Roman" w:eastAsia="宋体"/>
          <w:sz w:val="32"/>
          <w:szCs w:val="32"/>
          <w:lang w:val="en-US" w:eastAsia="zh-CN"/>
        </w:rPr>
      </w:pPr>
      <w:r>
        <w:rPr>
          <w:rFonts w:hint="eastAsia" w:ascii="Times New Roman" w:hAnsi="Times New Roman"/>
          <w:sz w:val="32"/>
          <w:szCs w:val="32"/>
          <w:lang w:val="en-US" w:eastAsia="zh-CN"/>
        </w:rPr>
        <w:t>无</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r>
        <w:rPr>
          <w:rFonts w:ascii="Times New Roman" w:hAnsi="Times New Roman" w:eastAsia="仿宋"/>
          <w:sz w:val="32"/>
          <w:szCs w:val="32"/>
        </w:rPr>
        <w:t>报告应包括以下附件：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517"/>
        <w:gridCol w:w="1875"/>
        <w:gridCol w:w="2240"/>
        <w:gridCol w:w="1832"/>
      </w:tblGrid>
      <w:tr>
        <w:tblPrEx>
          <w:tblCellMar>
            <w:top w:w="0" w:type="dxa"/>
            <w:left w:w="108" w:type="dxa"/>
            <w:bottom w:w="0" w:type="dxa"/>
            <w:right w:w="108" w:type="dxa"/>
          </w:tblCellMar>
        </w:tblPrEx>
        <w:trPr>
          <w:trHeight w:val="257" w:hRule="atLeast"/>
          <w:jc w:val="center"/>
        </w:trPr>
        <w:tc>
          <w:tcPr>
            <w:tcW w:w="35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1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187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63</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54</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85.71%</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lang w:eastAsia="zh-CN"/>
              </w:rPr>
              <w:t>202</w:t>
            </w:r>
            <w:r>
              <w:rPr>
                <w:rFonts w:hint="eastAsia" w:ascii="Times New Roman" w:hAnsi="Times New Roman"/>
                <w:b/>
                <w:bCs/>
                <w:kern w:val="0"/>
                <w:szCs w:val="21"/>
                <w:lang w:val="en-US" w:eastAsia="zh-CN"/>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tblPrEx>
          <w:tblCellMar>
            <w:top w:w="0" w:type="dxa"/>
            <w:left w:w="108" w:type="dxa"/>
            <w:bottom w:w="0" w:type="dxa"/>
            <w:right w:w="108" w:type="dxa"/>
          </w:tblCellMar>
        </w:tblPrEx>
        <w:trPr>
          <w:trHeight w:val="430"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2347.32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2437.72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2601.03</w:t>
            </w:r>
          </w:p>
        </w:tc>
      </w:tr>
      <w:tr>
        <w:tblPrEx>
          <w:tblCellMar>
            <w:top w:w="0" w:type="dxa"/>
            <w:left w:w="108" w:type="dxa"/>
            <w:bottom w:w="0" w:type="dxa"/>
            <w:right w:w="108" w:type="dxa"/>
          </w:tblCellMar>
        </w:tblPrEx>
        <w:trPr>
          <w:trHeight w:val="430"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1634.74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1881.29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1257.31</w:t>
            </w:r>
          </w:p>
        </w:tc>
      </w:tr>
      <w:tr>
        <w:tblPrEx>
          <w:tblCellMar>
            <w:top w:w="0" w:type="dxa"/>
            <w:left w:w="108" w:type="dxa"/>
            <w:bottom w:w="0" w:type="dxa"/>
            <w:right w:w="108" w:type="dxa"/>
          </w:tblCellMar>
        </w:tblPrEx>
        <w:trPr>
          <w:trHeight w:val="475"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135.45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176.46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186.65</w:t>
            </w:r>
          </w:p>
        </w:tc>
      </w:tr>
      <w:tr>
        <w:tblPrEx>
          <w:tblCellMar>
            <w:top w:w="0" w:type="dxa"/>
            <w:left w:w="108" w:type="dxa"/>
            <w:bottom w:w="0" w:type="dxa"/>
            <w:right w:w="108" w:type="dxa"/>
          </w:tblCellMar>
        </w:tblPrEx>
        <w:trPr>
          <w:trHeight w:val="460"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87.65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142.31</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116.55</w:t>
            </w:r>
          </w:p>
        </w:tc>
      </w:tr>
      <w:tr>
        <w:tblPrEx>
          <w:tblCellMar>
            <w:top w:w="0" w:type="dxa"/>
            <w:left w:w="108" w:type="dxa"/>
            <w:bottom w:w="0" w:type="dxa"/>
            <w:right w:w="108" w:type="dxa"/>
          </w:tblCellMar>
        </w:tblPrEx>
        <w:trPr>
          <w:trHeight w:val="475"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1.72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52.12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8.2</w:t>
            </w:r>
          </w:p>
        </w:tc>
      </w:tr>
      <w:tr>
        <w:tblPrEx>
          <w:tblCellMar>
            <w:top w:w="0" w:type="dxa"/>
            <w:left w:w="108" w:type="dxa"/>
            <w:bottom w:w="0" w:type="dxa"/>
            <w:right w:w="108" w:type="dxa"/>
          </w:tblCellMar>
        </w:tblPrEx>
        <w:trPr>
          <w:trHeight w:val="252" w:hRule="atLeast"/>
          <w:jc w:val="center"/>
        </w:trPr>
        <w:tc>
          <w:tcPr>
            <w:tcW w:w="3517"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30" w:hRule="atLeast"/>
          <w:jc w:val="center"/>
        </w:trPr>
        <w:tc>
          <w:tcPr>
            <w:tcW w:w="3517"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3.65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10.3</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default" w:ascii="Times New Roman" w:hAnsi="Times New Roman"/>
                <w:kern w:val="0"/>
                <w:szCs w:val="21"/>
                <w:lang w:val="en"/>
              </w:rPr>
              <w:t>2.69</w:t>
            </w:r>
            <w:r>
              <w:rPr>
                <w:rFonts w:ascii="Times New Roman" w:hAnsi="Times New Roman"/>
                <w:kern w:val="0"/>
                <w:szCs w:val="21"/>
              </w:rPr>
              <w:t>　</w:t>
            </w:r>
          </w:p>
        </w:tc>
      </w:tr>
      <w:tr>
        <w:tblPrEx>
          <w:tblCellMar>
            <w:top w:w="0" w:type="dxa"/>
            <w:left w:w="108" w:type="dxa"/>
            <w:bottom w:w="0" w:type="dxa"/>
            <w:right w:w="108" w:type="dxa"/>
          </w:tblCellMar>
        </w:tblPrEx>
        <w:trPr>
          <w:trHeight w:val="514"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2.70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5.8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2.15</w:t>
            </w:r>
          </w:p>
        </w:tc>
      </w:tr>
      <w:tr>
        <w:tblPrEx>
          <w:tblCellMar>
            <w:top w:w="0" w:type="dxa"/>
            <w:left w:w="108" w:type="dxa"/>
            <w:bottom w:w="0" w:type="dxa"/>
            <w:right w:w="108" w:type="dxa"/>
          </w:tblCellMar>
        </w:tblPrEx>
        <w:trPr>
          <w:trHeight w:val="46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0</w:t>
            </w:r>
          </w:p>
        </w:tc>
      </w:tr>
      <w:tr>
        <w:tblPrEx>
          <w:tblCellMar>
            <w:top w:w="0" w:type="dxa"/>
            <w:left w:w="108" w:type="dxa"/>
            <w:bottom w:w="0" w:type="dxa"/>
            <w:right w:w="108" w:type="dxa"/>
          </w:tblCellMar>
        </w:tblPrEx>
        <w:trPr>
          <w:trHeight w:val="49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2.70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5.8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2.15</w:t>
            </w:r>
          </w:p>
        </w:tc>
      </w:tr>
      <w:tr>
        <w:tblPrEx>
          <w:tblCellMar>
            <w:top w:w="0" w:type="dxa"/>
            <w:left w:w="108" w:type="dxa"/>
            <w:bottom w:w="0" w:type="dxa"/>
            <w:right w:w="108" w:type="dxa"/>
          </w:tblCellMar>
        </w:tblPrEx>
        <w:trPr>
          <w:trHeight w:val="46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0</w:t>
            </w:r>
          </w:p>
        </w:tc>
      </w:tr>
      <w:tr>
        <w:tblPrEx>
          <w:tblCellMar>
            <w:top w:w="0" w:type="dxa"/>
            <w:left w:w="108" w:type="dxa"/>
            <w:bottom w:w="0" w:type="dxa"/>
            <w:right w:w="108" w:type="dxa"/>
          </w:tblCellMar>
        </w:tblPrEx>
        <w:trPr>
          <w:trHeight w:val="46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0.96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4.5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default" w:ascii="Times New Roman" w:hAnsi="Times New Roman"/>
                <w:kern w:val="0"/>
                <w:szCs w:val="21"/>
                <w:lang w:val="en"/>
              </w:rPr>
              <w:t>0.54</w:t>
            </w:r>
            <w:r>
              <w:rPr>
                <w:rFonts w:ascii="Times New Roman" w:hAnsi="Times New Roman"/>
                <w:kern w:val="0"/>
                <w:szCs w:val="21"/>
              </w:rPr>
              <w:t>　</w:t>
            </w:r>
          </w:p>
        </w:tc>
      </w:tr>
      <w:tr>
        <w:tblPrEx>
          <w:tblCellMar>
            <w:top w:w="0" w:type="dxa"/>
            <w:left w:w="108" w:type="dxa"/>
            <w:bottom w:w="0" w:type="dxa"/>
            <w:right w:w="108" w:type="dxa"/>
          </w:tblCellMar>
        </w:tblPrEx>
        <w:trPr>
          <w:trHeight w:val="37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408.78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57.6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413.49</w:t>
            </w:r>
            <w:r>
              <w:rPr>
                <w:rFonts w:ascii="Times New Roman" w:hAnsi="Times New Roman"/>
                <w:kern w:val="0"/>
                <w:szCs w:val="21"/>
              </w:rPr>
              <w:t>　</w:t>
            </w:r>
          </w:p>
        </w:tc>
      </w:tr>
      <w:tr>
        <w:tblPrEx>
          <w:tblCellMar>
            <w:top w:w="0" w:type="dxa"/>
            <w:left w:w="108" w:type="dxa"/>
            <w:bottom w:w="0" w:type="dxa"/>
            <w:right w:w="108" w:type="dxa"/>
          </w:tblCellMar>
        </w:tblPrEx>
        <w:trPr>
          <w:trHeight w:val="45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val="en" w:eastAsia="zh-CN"/>
              </w:rPr>
            </w:pPr>
            <w:r>
              <w:rPr>
                <w:rFonts w:ascii="Times New Roman" w:hAnsi="Times New Roman"/>
                <w:kern w:val="0"/>
                <w:szCs w:val="21"/>
              </w:rPr>
              <w:t>1、</w:t>
            </w:r>
            <w:r>
              <w:rPr>
                <w:rFonts w:hint="eastAsia" w:ascii="Times New Roman" w:hAnsi="Times New Roman"/>
                <w:kern w:val="0"/>
                <w:szCs w:val="21"/>
                <w:lang w:eastAsia="zh-CN"/>
              </w:rPr>
              <w:t>“一张网”电子化平台专项资金</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296.2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131.43</w:t>
            </w:r>
          </w:p>
        </w:tc>
      </w:tr>
      <w:tr>
        <w:tblPrEx>
          <w:tblCellMar>
            <w:top w:w="0" w:type="dxa"/>
            <w:left w:w="108" w:type="dxa"/>
            <w:bottom w:w="0" w:type="dxa"/>
            <w:right w:w="108" w:type="dxa"/>
          </w:tblCellMar>
        </w:tblPrEx>
        <w:trPr>
          <w:trHeight w:val="40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eastAsia="zh-CN"/>
              </w:rPr>
            </w:pP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lang w:eastAsia="zh-CN"/>
              </w:rPr>
              <w:t>政府采购全流程电子化专项资金</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56.18</w:t>
            </w:r>
          </w:p>
        </w:tc>
      </w:tr>
      <w:tr>
        <w:tblPrEx>
          <w:tblCellMar>
            <w:top w:w="0" w:type="dxa"/>
            <w:left w:w="108" w:type="dxa"/>
            <w:bottom w:w="0" w:type="dxa"/>
            <w:right w:w="108" w:type="dxa"/>
          </w:tblCellMar>
        </w:tblPrEx>
        <w:trPr>
          <w:trHeight w:val="514"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eastAsia="zh-CN"/>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lang w:eastAsia="zh-CN"/>
              </w:rPr>
              <w:t>中心档案室专项经费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13.01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28.36</w:t>
            </w:r>
          </w:p>
        </w:tc>
      </w:tr>
      <w:tr>
        <w:tblPrEx>
          <w:tblCellMar>
            <w:top w:w="0" w:type="dxa"/>
            <w:left w:w="108" w:type="dxa"/>
            <w:bottom w:w="0" w:type="dxa"/>
            <w:right w:w="108" w:type="dxa"/>
          </w:tblCellMar>
        </w:tblPrEx>
        <w:trPr>
          <w:trHeight w:val="43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both"/>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4、中心职工服装购置</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17.13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35.85</w:t>
            </w:r>
          </w:p>
        </w:tc>
      </w:tr>
      <w:tr>
        <w:tblPrEx>
          <w:tblCellMar>
            <w:top w:w="0" w:type="dxa"/>
            <w:left w:w="108" w:type="dxa"/>
            <w:bottom w:w="0" w:type="dxa"/>
            <w:right w:w="108" w:type="dxa"/>
          </w:tblCellMar>
        </w:tblPrEx>
        <w:trPr>
          <w:trHeight w:val="514"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5、中心信息化运维租赁及测评费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155.37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161.67</w:t>
            </w:r>
          </w:p>
        </w:tc>
      </w:tr>
      <w:tr>
        <w:tblPrEx>
          <w:tblCellMar>
            <w:top w:w="0" w:type="dxa"/>
            <w:left w:w="108" w:type="dxa"/>
            <w:bottom w:w="0" w:type="dxa"/>
            <w:right w:w="108" w:type="dxa"/>
          </w:tblCellMar>
        </w:tblPrEx>
        <w:trPr>
          <w:trHeight w:val="40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447.7</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597.4</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703.33</w:t>
            </w:r>
            <w:r>
              <w:rPr>
                <w:rFonts w:ascii="Times New Roman" w:hAnsi="Times New Roman"/>
                <w:kern w:val="0"/>
                <w:szCs w:val="21"/>
              </w:rPr>
              <w:t>　</w:t>
            </w:r>
          </w:p>
        </w:tc>
      </w:tr>
      <w:tr>
        <w:tblPrEx>
          <w:tblCellMar>
            <w:top w:w="0" w:type="dxa"/>
            <w:left w:w="108" w:type="dxa"/>
            <w:bottom w:w="0" w:type="dxa"/>
            <w:right w:w="108" w:type="dxa"/>
          </w:tblCellMar>
        </w:tblPrEx>
        <w:trPr>
          <w:trHeight w:val="550"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5947"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bl>
    <w:p>
      <w:pPr>
        <w:rPr>
          <w:rFonts w:ascii="Times New Roman" w:hAnsi="Times New Roman"/>
          <w:kern w:val="0"/>
          <w:sz w:val="16"/>
          <w:szCs w:val="16"/>
        </w:rPr>
      </w:pPr>
      <w:r>
        <w:rPr>
          <w:rFonts w:ascii="Times New Roman" w:hAnsi="Times New Roman"/>
          <w:kern w:val="0"/>
          <w:sz w:val="16"/>
          <w:szCs w:val="16"/>
        </w:rPr>
        <w:t>说明：“项目支出”需要填报基本支出以外的所有项目支出情况，包括业务工作项目</w:t>
      </w:r>
      <w:r>
        <w:rPr>
          <w:rFonts w:hint="eastAsia" w:ascii="Times New Roman" w:hAnsi="Times New Roman"/>
          <w:kern w:val="0"/>
          <w:sz w:val="16"/>
          <w:szCs w:val="16"/>
          <w:lang w:eastAsia="zh-CN"/>
        </w:rPr>
        <w:t>、</w:t>
      </w:r>
      <w:r>
        <w:rPr>
          <w:rFonts w:ascii="Times New Roman" w:hAnsi="Times New Roman"/>
          <w:kern w:val="0"/>
          <w:sz w:val="16"/>
          <w:szCs w:val="16"/>
        </w:rPr>
        <w:t>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rPr>
          <w:rFonts w:ascii="Times New Roman" w:hAnsi="Times New Roman" w:eastAsia="黑体"/>
        </w:rPr>
      </w:pPr>
      <w:r>
        <w:rPr>
          <w:rFonts w:ascii="Times New Roman" w:hAnsi="Times New Roman" w:eastAsia="黑体"/>
          <w:sz w:val="32"/>
          <w:szCs w:val="32"/>
        </w:rPr>
        <w:t>附件3</w:t>
      </w:r>
    </w:p>
    <w:tbl>
      <w:tblPr>
        <w:tblStyle w:val="8"/>
        <w:tblW w:w="9999" w:type="dxa"/>
        <w:jc w:val="center"/>
        <w:tblLayout w:type="fixed"/>
        <w:tblCellMar>
          <w:top w:w="0" w:type="dxa"/>
          <w:left w:w="108" w:type="dxa"/>
          <w:bottom w:w="0" w:type="dxa"/>
          <w:right w:w="108" w:type="dxa"/>
        </w:tblCellMar>
      </w:tblPr>
      <w:tblGrid>
        <w:gridCol w:w="1363"/>
        <w:gridCol w:w="1020"/>
        <w:gridCol w:w="1057"/>
        <w:gridCol w:w="1275"/>
        <w:gridCol w:w="1110"/>
        <w:gridCol w:w="158"/>
        <w:gridCol w:w="907"/>
        <w:gridCol w:w="113"/>
        <w:gridCol w:w="960"/>
        <w:gridCol w:w="765"/>
        <w:gridCol w:w="300"/>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衡阳市公共资源交易中心</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2437.72</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2601.03</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106%</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按支出性质分：</w:t>
            </w:r>
            <w:r>
              <w:rPr>
                <w:rFonts w:hint="eastAsia" w:ascii="Times New Roman" w:hAnsi="Times New Roman" w:eastAsia="仿宋_GB2312"/>
                <w:color w:val="000000"/>
                <w:kern w:val="0"/>
                <w:szCs w:val="21"/>
                <w:lang w:val="en-US" w:eastAsia="zh-CN"/>
              </w:rPr>
              <w:t>2601.03</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2437.72</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2187.54</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413.49</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衡阳市市公共资源交易中心为市政府直属正处级公益一类事业单位，主要职责：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1、负责市级公共资源交易平台及信息网络系统建设，负责全市公共资源交易保证金的收退和各项公共资源交易服务费用的收取。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2、配合有关部门研究制定平台内交易活动的标准、流程、规程和现场管理制度。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3、依法受理各类公共资源交易等信息。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4、负责核实评审资料，办理交易确认书。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5、负责全市公共资源交易监管网的日常运行及维护。 </w:t>
            </w:r>
          </w:p>
          <w:p>
            <w:pPr>
              <w:widowControl/>
              <w:jc w:val="both"/>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6、承担市委市政府和公共资源交易管理委员会交办的其他工作。</w:t>
            </w: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1、加快推进“5G+”区块链远程异地评标系统建设，扎实推进金融服  务平台建设，拓展平台服务功能。</w:t>
            </w:r>
          </w:p>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2、切实履行平台见证服务职责，提升平台交易服务质量和水平；认真贯  彻落实“放管服”改革，发挥窗口单位优势，深入推进现场管理服务  提质活动，为进一步优化我市营商环境作出新贡献。</w:t>
            </w:r>
          </w:p>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3、完成各类公共资源交易项目2500个，成交金额350亿元；实现交易服务费收入4000万元。</w:t>
            </w:r>
          </w:p>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1622"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05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开评标室相关智能化设备维护率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43"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维护智能化系统率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95"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开评标区网络系统运行可靠性</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≥95%</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≥95%</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16"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信息系统安全高效运行响应时间</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48小时</w:t>
            </w: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48小时</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85"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严格讲开支控制在预算成本内</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总支出不超过年初预算</w:t>
            </w:r>
            <w:r>
              <w:rPr>
                <w:rFonts w:hint="eastAsia" w:ascii="Times New Roman" w:hAnsi="Times New Roman" w:eastAsia="仿宋_GB2312"/>
                <w:color w:val="000000"/>
                <w:kern w:val="0"/>
                <w:szCs w:val="21"/>
                <w:lang w:eastAsia="zh-CN"/>
              </w:rPr>
              <w:t>的</w:t>
            </w:r>
            <w:r>
              <w:rPr>
                <w:rFonts w:hint="eastAsia" w:ascii="Times New Roman" w:hAnsi="Times New Roman" w:eastAsia="仿宋_GB2312"/>
                <w:color w:val="000000"/>
                <w:kern w:val="0"/>
                <w:szCs w:val="21"/>
                <w:lang w:val="en-US" w:eastAsia="zh-CN"/>
              </w:rPr>
              <w:t>10%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预算内支出超过年初预算6%</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05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完成交易服务宗数及涉及交易保证 金、服务费金额</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全年进场项目2500宗，涉及交易金额 350亿元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全年进场项目2705 宗，涉及交易金额 430.65亿元</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完成交易服务费收取</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全年服务费收入4</w:t>
            </w:r>
            <w:r>
              <w:rPr>
                <w:rFonts w:hint="eastAsia" w:ascii="Times New Roman" w:hAnsi="Times New Roman" w:eastAsia="仿宋_GB2312"/>
                <w:color w:val="000000"/>
                <w:kern w:val="0"/>
                <w:szCs w:val="21"/>
                <w:lang w:val="en-US" w:eastAsia="zh-CN"/>
              </w:rPr>
              <w:t>000</w:t>
            </w:r>
            <w:r>
              <w:rPr>
                <w:rFonts w:hint="eastAsia" w:ascii="Times New Roman" w:hAnsi="Times New Roman" w:eastAsia="仿宋_GB2312"/>
                <w:color w:val="000000"/>
                <w:kern w:val="0"/>
                <w:szCs w:val="21"/>
              </w:rPr>
              <w:t>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 w:val="21"/>
                <w:szCs w:val="21"/>
              </w:rPr>
              <w:t>全年服务费收入</w:t>
            </w:r>
            <w:r>
              <w:rPr>
                <w:rFonts w:hint="eastAsia" w:ascii="Times New Roman" w:hAnsi="Times New Roman" w:eastAsia="仿宋_GB2312"/>
                <w:color w:val="000000"/>
                <w:kern w:val="0"/>
                <w:sz w:val="20"/>
                <w:szCs w:val="20"/>
                <w:lang w:val="en-US" w:eastAsia="zh-CN"/>
              </w:rPr>
              <w:t>6923.45</w:t>
            </w:r>
            <w:r>
              <w:rPr>
                <w:rFonts w:hint="eastAsia" w:ascii="Times New Roman" w:hAnsi="Times New Roman" w:eastAsia="仿宋_GB2312"/>
                <w:color w:val="000000"/>
                <w:kern w:val="0"/>
                <w:sz w:val="21"/>
                <w:szCs w:val="21"/>
              </w:rPr>
              <w:t>万元</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推动公共资源交易服务管理转型升 级，打造利企便民、服务高效、阳 光透明的交易平台</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社会认可度达到 85%</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社会认可度达到 </w:t>
            </w:r>
            <w:r>
              <w:rPr>
                <w:rFonts w:hint="eastAsia" w:ascii="Times New Roman" w:hAnsi="Times New Roman" w:eastAsia="仿宋_GB2312"/>
                <w:color w:val="000000"/>
                <w:kern w:val="0"/>
                <w:szCs w:val="21"/>
                <w:lang w:val="en-US" w:eastAsia="zh-CN"/>
              </w:rPr>
              <w:t>98</w:t>
            </w:r>
            <w:r>
              <w:rPr>
                <w:rFonts w:hint="eastAsia" w:ascii="Times New Roman" w:hAnsi="Times New Roman" w:eastAsia="仿宋_GB2312"/>
                <w:color w:val="000000"/>
                <w:kern w:val="0"/>
                <w:szCs w:val="21"/>
              </w:rPr>
              <w:t>%</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工程项目电子评标无纸化</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10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57" w:type="dxa"/>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交易人员满意度</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≥95%</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0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spacing w:beforeLines="50"/>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附件4</w:t>
      </w: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627"/>
        <w:gridCol w:w="1125"/>
        <w:gridCol w:w="578"/>
        <w:gridCol w:w="697"/>
        <w:gridCol w:w="1429"/>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rPr>
              <w:t>“一张网”电子化平台专项资金</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50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衡阳市政府</w:t>
            </w:r>
          </w:p>
        </w:tc>
        <w:tc>
          <w:tcPr>
            <w:tcW w:w="11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270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trHeight w:val="46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627"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25" w:type="dxa"/>
            <w:tcBorders>
              <w:top w:val="nil"/>
              <w:left w:val="nil"/>
              <w:bottom w:val="single" w:color="auto" w:sz="4" w:space="0"/>
              <w:right w:val="single" w:color="auto" w:sz="4" w:space="0"/>
            </w:tcBorders>
            <w:shd w:val="clear" w:color="auto" w:fill="auto"/>
            <w:noWrap/>
          </w:tcPr>
          <w:p>
            <w:pPr>
              <w:widowControl/>
              <w:spacing w:line="240" w:lineRule="exact"/>
              <w:ind w:firstLine="210" w:firstLineChars="1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pPr>
              <w:widowControl/>
              <w:spacing w:line="240" w:lineRule="exact"/>
              <w:ind w:firstLine="210" w:firstLineChars="100"/>
              <w:jc w:val="center"/>
              <w:rPr>
                <w:rFonts w:ascii="Times New Roman" w:hAnsi="Times New Roman" w:eastAsia="仿宋_GB2312"/>
                <w:szCs w:val="21"/>
              </w:rPr>
            </w:pPr>
            <w:r>
              <w:rPr>
                <w:rFonts w:ascii="Times New Roman" w:hAnsi="Times New Roman" w:eastAsia="仿宋_GB2312" w:cs="Times New Roman"/>
                <w:color w:val="000000"/>
                <w:kern w:val="0"/>
                <w:szCs w:val="21"/>
              </w:rPr>
              <w:t>执行数</w:t>
            </w:r>
          </w:p>
        </w:tc>
        <w:tc>
          <w:tcPr>
            <w:tcW w:w="578"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69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429"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186.88</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186.88</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131.43</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70.33%</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186.88</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186.88</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131.43</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503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38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503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按照全省统一的公共资源交易信息建设标准规范进行开发建设，与省公共资源交易电子服务平台进行对接实现数据实时交互共享，并且做好监管信息与交易数据对接。</w:t>
            </w:r>
            <w:r>
              <w:rPr>
                <w:rFonts w:ascii="Times New Roman" w:hAnsi="Times New Roman" w:eastAsia="仿宋_GB2312"/>
                <w:color w:val="000000"/>
                <w:kern w:val="0"/>
                <w:szCs w:val="21"/>
              </w:rPr>
              <w:t>　</w:t>
            </w:r>
          </w:p>
        </w:tc>
        <w:tc>
          <w:tcPr>
            <w:tcW w:w="38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实现场地智能化总控平台即不见面开标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不见面开 标覆盖率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202</w:t>
            </w: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 xml:space="preserve"> 年不见面 开标覆盖率达 到 </w:t>
            </w:r>
            <w:r>
              <w:rPr>
                <w:rFonts w:hint="eastAsia" w:ascii="Times New Roman" w:hAnsi="Times New Roman" w:eastAsia="仿宋_GB2312"/>
                <w:color w:val="000000"/>
                <w:kern w:val="0"/>
                <w:szCs w:val="21"/>
                <w:lang w:val="en-US" w:eastAsia="zh-CN"/>
              </w:rPr>
              <w:t>90</w:t>
            </w:r>
            <w:r>
              <w:rPr>
                <w:rFonts w:hint="eastAsia" w:ascii="Times New Roman" w:hAnsi="Times New Roman" w:eastAsia="仿宋_GB2312"/>
                <w:color w:val="000000"/>
                <w:kern w:val="0"/>
                <w:szCs w:val="21"/>
              </w:rPr>
              <w:t>%</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≥90%</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工程项目 招投标全 程电子化 完成质量</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招标文件的编 制与备案、场地 预定、交易信息 发布、投标文件 质量指标 工程项目 招投标全 程电子化完成质量招标文件的编制与备案、场地 预定、交易信息 发布、投标文件的编制、投标保 证金或担保的 递交、开标评 标、中标通知书 打印等全部通 过网上完成</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已达到</w:t>
            </w:r>
            <w:r>
              <w:rPr>
                <w:rFonts w:hint="eastAsia" w:ascii="Times New Roman" w:hAnsi="Times New Roman" w:eastAsia="仿宋_GB2312"/>
                <w:color w:val="000000"/>
                <w:kern w:val="0"/>
                <w:szCs w:val="21"/>
              </w:rPr>
              <w:t>工程项目招投标全程电子化</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总控平台 计不见面 开标完成 计时率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按合同约定</w:t>
            </w:r>
            <w:r>
              <w:rPr>
                <w:rFonts w:hint="eastAsia" w:ascii="Times New Roman" w:hAnsi="Times New Roman" w:eastAsia="仿宋_GB2312"/>
                <w:color w:val="000000"/>
                <w:kern w:val="0"/>
                <w:szCs w:val="21"/>
                <w:lang w:val="en-US" w:eastAsia="zh-CN"/>
              </w:rPr>
              <w:t>完成</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已按合同完成</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成本控制</w:t>
            </w:r>
          </w:p>
          <w:p>
            <w:pPr>
              <w:widowControl/>
              <w:jc w:val="left"/>
              <w:rPr>
                <w:rFonts w:hint="eastAsia" w:ascii="Times New Roman" w:hAnsi="Times New Roman" w:eastAsia="仿宋_GB2312" w:cs="Times New Roman"/>
                <w:color w:val="000000"/>
                <w:kern w:val="0"/>
                <w:szCs w:val="21"/>
              </w:rPr>
            </w:pP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全年186.88万元，其余款项分 三年付清</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已支出131.43万元，剩余55.45万元按合同进度支付</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剩余未支付质保金</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提高开标 交易效率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pPr>
            <w:r>
              <w:rPr>
                <w:rFonts w:hint="eastAsia" w:ascii="Times New Roman" w:hAnsi="Times New Roman" w:eastAsia="仿宋_GB2312" w:cs="Times New Roman"/>
                <w:color w:val="000000"/>
                <w:kern w:val="0"/>
                <w:szCs w:val="21"/>
                <w:lang w:val="en-US" w:eastAsia="zh-CN"/>
              </w:rPr>
              <w:t>正面促进</w:t>
            </w:r>
          </w:p>
          <w:p>
            <w:pPr>
              <w:widowControl/>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正面促进</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减少交易 现场人员 聚集</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对疫情防控效 果显著</w:t>
            </w:r>
          </w:p>
          <w:p>
            <w:pPr>
              <w:widowControl/>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对疫情防控效 果显著</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着力降低 交易成本</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减少 75%开标项目标书纸质成本浪费</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纸质标书减少达到75%</w:t>
            </w: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分）</w:t>
            </w:r>
          </w:p>
        </w:tc>
        <w:tc>
          <w:tcPr>
            <w:tcW w:w="1261" w:type="dxa"/>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投标人</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监委、代理机构及招标人满意</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95%以上</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729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spacing w:beforeLines="50"/>
        <w:rPr>
          <w:rFonts w:ascii="Times New Roman" w:hAnsi="Times New Roman"/>
        </w:rPr>
      </w:pPr>
    </w:p>
    <w:p>
      <w:pPr>
        <w:rPr>
          <w:rFonts w:ascii="Times New Roman" w:hAnsi="Times New Roman" w:eastAsia="黑体"/>
          <w:b/>
          <w:bCs/>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tbl>
      <w:tblPr>
        <w:tblStyle w:val="8"/>
        <w:tblW w:w="10008"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64"/>
        <w:gridCol w:w="1271"/>
      </w:tblGrid>
      <w:tr>
        <w:tblPrEx>
          <w:tblCellMar>
            <w:top w:w="0" w:type="dxa"/>
            <w:left w:w="108" w:type="dxa"/>
            <w:bottom w:w="0" w:type="dxa"/>
            <w:right w:w="108" w:type="dxa"/>
          </w:tblCellMar>
        </w:tblPrEx>
        <w:trPr>
          <w:trHeight w:val="690" w:hRule="atLeast"/>
          <w:jc w:val="center"/>
        </w:trPr>
        <w:tc>
          <w:tcPr>
            <w:tcW w:w="10008"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10008"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7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政府采购全流程电子化专项资金</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衡阳市政府</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2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64"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179.01</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56.18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31.38%</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179.01</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56.18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政府采购项目全流程电子化率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项目完成后政府采购项目全流程电子化率达到</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政府采购项目每个环节电子化完成质量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招标文件的编制与备案、场地预定、交易信息发布、投标文件的编制、投标保证金或担保的递交、开标评标、中标通知书 打印等全部通过网上完成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已实现政府采购项目全流程的电子化</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2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政府采购全流程电子化项目</w:t>
            </w:r>
            <w:r>
              <w:rPr>
                <w:rFonts w:hint="eastAsia" w:ascii="Times New Roman" w:hAnsi="Times New Roman" w:eastAsia="仿宋_GB2312"/>
                <w:color w:val="000000"/>
                <w:kern w:val="0"/>
                <w:szCs w:val="21"/>
              </w:rPr>
              <w:t>完成计时率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按照合同规定安全</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已按合同规定安全</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243"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合同价格低于财评总价</w:t>
            </w:r>
            <w:r>
              <w:rPr>
                <w:rFonts w:hint="eastAsia" w:ascii="Times New Roman" w:hAnsi="Times New Roman" w:eastAsia="仿宋_GB2312"/>
                <w:color w:val="000000"/>
                <w:kern w:val="0"/>
                <w:szCs w:val="21"/>
                <w:lang w:val="en-US" w:eastAsia="zh-CN"/>
              </w:rPr>
              <w:t>1825894元</w:t>
            </w: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实际合同金额为</w:t>
            </w:r>
            <w:r>
              <w:rPr>
                <w:rFonts w:hint="eastAsia" w:ascii="Times New Roman" w:hAnsi="Times New Roman" w:eastAsia="仿宋_GB2312"/>
                <w:color w:val="000000"/>
                <w:kern w:val="0"/>
                <w:szCs w:val="21"/>
                <w:lang w:val="en-US" w:eastAsia="zh-CN"/>
              </w:rPr>
              <w:t>1807711元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eastAsia="zh-CN"/>
              </w:rPr>
              <w:t>政府采购项目</w:t>
            </w:r>
            <w:r>
              <w:rPr>
                <w:rFonts w:hint="eastAsia" w:ascii="Times New Roman" w:hAnsi="Times New Roman" w:eastAsia="仿宋_GB2312"/>
                <w:color w:val="000000"/>
                <w:kern w:val="0"/>
                <w:szCs w:val="21"/>
              </w:rPr>
              <w:t xml:space="preserve"> 交易效率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pPr>
            <w:r>
              <w:rPr>
                <w:rFonts w:hint="eastAsia" w:ascii="Times New Roman" w:hAnsi="Times New Roman" w:eastAsia="仿宋_GB2312" w:cs="Times New Roman"/>
                <w:color w:val="000000"/>
                <w:kern w:val="0"/>
                <w:szCs w:val="21"/>
                <w:lang w:val="en-US" w:eastAsia="zh-CN"/>
              </w:rPr>
              <w:t>正面促进</w:t>
            </w:r>
          </w:p>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正面促进</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减少交易 现场人员 聚集</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对防范交易风险效 果显著</w:t>
            </w:r>
          </w:p>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对防范交易风险效 果显著</w:t>
            </w:r>
          </w:p>
          <w:p>
            <w:pPr>
              <w:keepNext w:val="0"/>
              <w:keepLines w:val="0"/>
              <w:widowControl/>
              <w:suppressLineNumbers w:val="0"/>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着力降低 交易成本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减少 </w:t>
            </w:r>
            <w:r>
              <w:rPr>
                <w:rFonts w:hint="eastAsia" w:ascii="Times New Roman" w:hAnsi="Times New Roman" w:eastAsia="仿宋_GB2312"/>
                <w:color w:val="000000"/>
                <w:kern w:val="0"/>
                <w:szCs w:val="21"/>
                <w:lang w:val="en-US" w:eastAsia="zh-CN"/>
              </w:rPr>
              <w:t>99</w:t>
            </w:r>
            <w:r>
              <w:rPr>
                <w:rFonts w:hint="eastAsia" w:ascii="Times New Roman" w:hAnsi="Times New Roman" w:eastAsia="仿宋_GB2312"/>
                <w:color w:val="000000"/>
                <w:kern w:val="0"/>
                <w:szCs w:val="21"/>
              </w:rPr>
              <w:t>%开标项目标书纸质成本浪费</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纸质标书减少达到100%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投标人</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监委、代理机构及招标人满意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95%以上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eastAsia="zh-CN"/>
              </w:rPr>
              <w:t>政府采购项目</w:t>
            </w:r>
            <w:r>
              <w:rPr>
                <w:rFonts w:hint="eastAsia" w:ascii="Times New Roman" w:hAnsi="Times New Roman" w:eastAsia="仿宋_GB2312"/>
                <w:color w:val="000000"/>
                <w:kern w:val="0"/>
                <w:szCs w:val="21"/>
              </w:rPr>
              <w:t xml:space="preserve"> 交易效率</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pPr>
            <w:r>
              <w:rPr>
                <w:rFonts w:hint="eastAsia" w:ascii="Times New Roman" w:hAnsi="Times New Roman" w:eastAsia="仿宋_GB2312" w:cs="Times New Roman"/>
                <w:color w:val="000000"/>
                <w:kern w:val="0"/>
                <w:szCs w:val="21"/>
                <w:lang w:val="en-US" w:eastAsia="zh-CN"/>
              </w:rPr>
              <w:t>正面促进</w:t>
            </w:r>
          </w:p>
          <w:p>
            <w:pPr>
              <w:widowControl/>
              <w:jc w:val="left"/>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正面促进</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rPr>
          <w:rFonts w:ascii="Times New Roman" w:hAnsi="Times New Roman" w:eastAsia="黑体"/>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rPr>
          <w:rFonts w:ascii="Times New Roman" w:hAnsi="Times New Roman" w:eastAsia="黑体"/>
          <w:sz w:val="32"/>
          <w:szCs w:val="32"/>
        </w:rPr>
      </w:pPr>
    </w:p>
    <w:p>
      <w:pPr>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6</w:t>
      </w:r>
    </w:p>
    <w:tbl>
      <w:tblPr>
        <w:tblStyle w:val="8"/>
        <w:tblW w:w="10739" w:type="dxa"/>
        <w:jc w:val="center"/>
        <w:tblLayout w:type="autofit"/>
        <w:tblCellMar>
          <w:top w:w="0" w:type="dxa"/>
          <w:left w:w="108" w:type="dxa"/>
          <w:bottom w:w="0" w:type="dxa"/>
          <w:right w:w="108" w:type="dxa"/>
        </w:tblCellMar>
      </w:tblPr>
      <w:tblGrid>
        <w:gridCol w:w="740"/>
        <w:gridCol w:w="395"/>
        <w:gridCol w:w="740"/>
        <w:gridCol w:w="252"/>
        <w:gridCol w:w="531"/>
        <w:gridCol w:w="730"/>
        <w:gridCol w:w="365"/>
        <w:gridCol w:w="790"/>
        <w:gridCol w:w="785"/>
        <w:gridCol w:w="445"/>
        <w:gridCol w:w="845"/>
        <w:gridCol w:w="262"/>
        <w:gridCol w:w="993"/>
        <w:gridCol w:w="95"/>
        <w:gridCol w:w="645"/>
        <w:gridCol w:w="133"/>
        <w:gridCol w:w="626"/>
        <w:gridCol w:w="690"/>
        <w:gridCol w:w="731"/>
      </w:tblGrid>
      <w:tr>
        <w:tblPrEx>
          <w:tblCellMar>
            <w:top w:w="0" w:type="dxa"/>
            <w:left w:w="108" w:type="dxa"/>
            <w:bottom w:w="0" w:type="dxa"/>
            <w:right w:w="108" w:type="dxa"/>
          </w:tblCellMar>
        </w:tblPrEx>
        <w:trPr>
          <w:gridAfter w:val="1"/>
          <w:wAfter w:w="731" w:type="dxa"/>
          <w:trHeight w:val="690" w:hRule="atLeast"/>
          <w:jc w:val="center"/>
        </w:trPr>
        <w:tc>
          <w:tcPr>
            <w:tcW w:w="10008" w:type="dxa"/>
            <w:gridSpan w:val="18"/>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gridAfter w:val="1"/>
          <w:wAfter w:w="731" w:type="dxa"/>
          <w:trHeight w:val="270" w:hRule="atLeast"/>
          <w:jc w:val="center"/>
        </w:trPr>
        <w:tc>
          <w:tcPr>
            <w:tcW w:w="10008" w:type="dxa"/>
            <w:gridSpan w:val="18"/>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gridAfter w:val="1"/>
          <w:wAfter w:w="731" w:type="dxa"/>
          <w:trHeight w:val="585"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73" w:type="dxa"/>
            <w:gridSpan w:val="1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rPr>
              <w:t>档案室专项维修</w:t>
            </w:r>
          </w:p>
        </w:tc>
      </w:tr>
      <w:tr>
        <w:tblPrEx>
          <w:tblCellMar>
            <w:top w:w="0" w:type="dxa"/>
            <w:left w:w="108" w:type="dxa"/>
            <w:bottom w:w="0" w:type="dxa"/>
            <w:right w:w="108" w:type="dxa"/>
          </w:tblCellMar>
        </w:tblPrEx>
        <w:trPr>
          <w:gridAfter w:val="1"/>
          <w:wAfter w:w="731" w:type="dxa"/>
          <w:trHeight w:val="400"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衡阳市政府</w:t>
            </w:r>
          </w:p>
        </w:tc>
        <w:tc>
          <w:tcPr>
            <w:tcW w:w="110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2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gridAfter w:val="1"/>
          <w:wAfter w:w="731" w:type="dxa"/>
          <w:trHeight w:val="465"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gridSpan w:val="2"/>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64" w:type="dxa"/>
            <w:gridSpan w:val="3"/>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gridSpan w:val="2"/>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29.39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29.39</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28.36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96.49%</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29.39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29.39</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35"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gridAfter w:val="1"/>
          <w:wAfter w:w="731" w:type="dxa"/>
          <w:trHeight w:val="610" w:hRule="atLeast"/>
          <w:jc w:val="center"/>
        </w:trPr>
        <w:tc>
          <w:tcPr>
            <w:tcW w:w="113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做好档案管理工作，提高标书存放工作效率，保证中心档案保管质量</w:t>
            </w:r>
            <w:r>
              <w:rPr>
                <w:rFonts w:ascii="Times New Roman" w:hAnsi="Times New Roman" w:eastAsia="仿宋_GB2312"/>
                <w:color w:val="000000"/>
                <w:kern w:val="0"/>
                <w:szCs w:val="21"/>
              </w:rPr>
              <w:t>　</w:t>
            </w:r>
          </w:p>
        </w:tc>
        <w:tc>
          <w:tcPr>
            <w:tcW w:w="4235"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做好档案管理工作，提高标书存放工作效率，保证中心档案保管质量</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868" w:hRule="atLeast"/>
          <w:jc w:val="center"/>
        </w:trPr>
        <w:tc>
          <w:tcPr>
            <w:tcW w:w="113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维修档案室面积（㎡）</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350㎡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350㎡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档案特殊装具合格率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档案室自动报警和灭火设备合格率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9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项目按时完成率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项目款支付进度</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94.49%</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剩余质保金未到期未支付</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项目总成本不超财政评审</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≤43.24万元</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41.37万元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促进就业（档案室保管员）</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对经济影响约4.68万元</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对经济影响约4.68万元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现建设标准下可满足多少年档案保管需要</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≥20年</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已满足第一年需求</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对档案存放工作的促进作用</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进一步增强中心服务群众的工作能力</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进一步增强中心服务群众的工作能力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减少纸质档案存放消耗</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减少95%纸质档案存放消耗</w:t>
            </w: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gridSpan w:val="2"/>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着力降低 </w:t>
            </w:r>
            <w:r>
              <w:rPr>
                <w:rFonts w:hint="eastAsia" w:ascii="Times New Roman" w:hAnsi="Times New Roman" w:eastAsia="仿宋_GB2312"/>
                <w:color w:val="000000"/>
                <w:kern w:val="0"/>
                <w:szCs w:val="21"/>
                <w:lang w:val="en-US" w:eastAsia="zh-CN"/>
              </w:rPr>
              <w:t>存放</w:t>
            </w:r>
            <w:r>
              <w:rPr>
                <w:rFonts w:hint="eastAsia" w:ascii="Times New Roman" w:hAnsi="Times New Roman" w:eastAsia="仿宋_GB2312"/>
                <w:color w:val="000000"/>
                <w:kern w:val="0"/>
                <w:szCs w:val="21"/>
              </w:rPr>
              <w:t>成本</w:t>
            </w:r>
          </w:p>
          <w:p>
            <w:pPr>
              <w:widowControl/>
              <w:jc w:val="left"/>
              <w:rPr>
                <w:rFonts w:ascii="Times New Roman" w:hAnsi="Times New Roman" w:eastAsia="仿宋_GB2312"/>
                <w:color w:val="000000"/>
                <w:kern w:val="0"/>
                <w:szCs w:val="21"/>
              </w:rPr>
            </w:pPr>
          </w:p>
        </w:tc>
        <w:tc>
          <w:tcPr>
            <w:tcW w:w="123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减少</w:t>
            </w:r>
            <w:r>
              <w:rPr>
                <w:rFonts w:hint="eastAsia" w:ascii="Times New Roman" w:hAnsi="Times New Roman" w:eastAsia="仿宋_GB2312"/>
                <w:color w:val="000000"/>
                <w:kern w:val="0"/>
                <w:szCs w:val="21"/>
                <w:lang w:val="en-US" w:eastAsia="zh-CN"/>
              </w:rPr>
              <w:t>95</w:t>
            </w:r>
            <w:r>
              <w:rPr>
                <w:rFonts w:hint="eastAsia" w:ascii="Times New Roman" w:hAnsi="Times New Roman" w:eastAsia="仿宋_GB2312"/>
                <w:color w:val="000000"/>
                <w:kern w:val="0"/>
                <w:szCs w:val="21"/>
              </w:rPr>
              <w:t>%纸质</w:t>
            </w:r>
            <w:r>
              <w:rPr>
                <w:rFonts w:hint="eastAsia" w:ascii="Times New Roman" w:hAnsi="Times New Roman" w:eastAsia="仿宋_GB2312"/>
                <w:color w:val="000000"/>
                <w:kern w:val="0"/>
                <w:szCs w:val="21"/>
                <w:lang w:val="en-US" w:eastAsia="zh-CN"/>
              </w:rPr>
              <w:t>标书存放</w:t>
            </w:r>
          </w:p>
        </w:tc>
        <w:tc>
          <w:tcPr>
            <w:tcW w:w="1107"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gridSpan w:val="3"/>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86"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7"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864" w:type="dxa"/>
            <w:gridSpan w:val="3"/>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4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分）</w:t>
            </w:r>
          </w:p>
        </w:tc>
        <w:tc>
          <w:tcPr>
            <w:tcW w:w="1261"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代理公司满意度</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6880"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690" w:hRule="atLeast"/>
          <w:jc w:val="center"/>
        </w:trPr>
        <w:tc>
          <w:tcPr>
            <w:tcW w:w="9999" w:type="dxa"/>
            <w:gridSpan w:val="18"/>
            <w:tcBorders>
              <w:top w:val="nil"/>
              <w:left w:val="nil"/>
              <w:bottom w:val="nil"/>
              <w:right w:val="nil"/>
            </w:tcBorders>
            <w:shd w:val="clear" w:color="auto" w:fill="auto"/>
            <w:noWrap/>
            <w:vAlign w:val="center"/>
          </w:tcPr>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 xml:space="preserve">2023年4月7日 </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ind w:firstLine="960" w:firstLineChars="300"/>
              <w:rPr>
                <w:rFonts w:ascii="Times New Roman" w:hAnsi="Times New Roman" w:eastAsia="黑体"/>
                <w:sz w:val="32"/>
                <w:szCs w:val="32"/>
              </w:rPr>
            </w:pPr>
          </w:p>
          <w:p>
            <w:pPr>
              <w:ind w:firstLine="960" w:firstLineChars="300"/>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7</w:t>
            </w: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gridBefore w:val="1"/>
          <w:wBefore w:w="740" w:type="dxa"/>
          <w:trHeight w:val="270" w:hRule="atLeast"/>
          <w:jc w:val="center"/>
        </w:trPr>
        <w:tc>
          <w:tcPr>
            <w:tcW w:w="9999" w:type="dxa"/>
            <w:gridSpan w:val="18"/>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gridBefore w:val="1"/>
          <w:wBefore w:w="740" w:type="dxa"/>
          <w:trHeight w:val="585"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1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中心职工服装购置</w:t>
            </w:r>
          </w:p>
        </w:tc>
      </w:tr>
      <w:tr>
        <w:tblPrEx>
          <w:tblCellMar>
            <w:top w:w="0" w:type="dxa"/>
            <w:left w:w="108" w:type="dxa"/>
            <w:bottom w:w="0" w:type="dxa"/>
            <w:right w:w="108" w:type="dxa"/>
          </w:tblCellMar>
        </w:tblPrEx>
        <w:trPr>
          <w:gridBefore w:val="1"/>
          <w:wBefore w:w="740" w:type="dxa"/>
          <w:trHeight w:val="400"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743"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衡阳市政府</w:t>
            </w:r>
          </w:p>
        </w:tc>
        <w:tc>
          <w:tcPr>
            <w:tcW w:w="135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277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gridBefore w:val="1"/>
          <w:wBefore w:w="740" w:type="dxa"/>
          <w:trHeight w:val="465"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350" w:type="dxa"/>
            <w:gridSpan w:val="3"/>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64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705" w:type="dxa"/>
            <w:gridSpan w:val="2"/>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421" w:type="dxa"/>
            <w:gridSpan w:val="2"/>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37.46</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37.46</w:t>
            </w:r>
          </w:p>
        </w:tc>
        <w:tc>
          <w:tcPr>
            <w:tcW w:w="13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35.85</w:t>
            </w:r>
            <w:r>
              <w:rPr>
                <w:rFonts w:ascii="Times New Roman" w:hAnsi="Times New Roman" w:eastAsia="仿宋_GB2312"/>
                <w:color w:val="000000"/>
                <w:kern w:val="0"/>
                <w:szCs w:val="21"/>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7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95.7%</w:t>
            </w:r>
            <w:r>
              <w:rPr>
                <w:rFonts w:ascii="Times New Roman" w:hAnsi="Times New Roman" w:eastAsia="仿宋_GB2312"/>
                <w:color w:val="000000"/>
                <w:kern w:val="0"/>
                <w:szCs w:val="21"/>
              </w:rPr>
              <w:t>　</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3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37.46</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37.46</w:t>
            </w:r>
          </w:p>
        </w:tc>
        <w:tc>
          <w:tcPr>
            <w:tcW w:w="13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74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121"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gridBefore w:val="1"/>
          <w:wBefore w:w="740" w:type="dxa"/>
          <w:trHeight w:val="610" w:hRule="atLeast"/>
          <w:jc w:val="center"/>
        </w:trPr>
        <w:tc>
          <w:tcPr>
            <w:tcW w:w="113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74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树立良好的服务形象，促进公共资源交易中心队伍正规化、规范化；提高交易大厅工作效率</w:t>
            </w:r>
            <w:r>
              <w:rPr>
                <w:rFonts w:ascii="Times New Roman" w:hAnsi="Times New Roman" w:eastAsia="仿宋_GB2312"/>
                <w:color w:val="000000"/>
                <w:kern w:val="0"/>
                <w:szCs w:val="21"/>
              </w:rPr>
              <w:t>　　</w:t>
            </w:r>
          </w:p>
        </w:tc>
        <w:tc>
          <w:tcPr>
            <w:tcW w:w="4121"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树立良好的服务形象，已促进公共资源交易中心队伍正规化、规范化；交易大厅工作效率显著提高</w:t>
            </w:r>
          </w:p>
        </w:tc>
      </w:tr>
      <w:tr>
        <w:tblPrEx>
          <w:tblCellMar>
            <w:top w:w="0" w:type="dxa"/>
            <w:left w:w="108" w:type="dxa"/>
            <w:bottom w:w="0" w:type="dxa"/>
            <w:right w:w="108" w:type="dxa"/>
          </w:tblCellMar>
        </w:tblPrEx>
        <w:trPr>
          <w:gridBefore w:val="1"/>
          <w:wBefore w:w="740" w:type="dxa"/>
          <w:trHeight w:val="868" w:hRule="atLeast"/>
          <w:jc w:val="center"/>
        </w:trPr>
        <w:tc>
          <w:tcPr>
            <w:tcW w:w="113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7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095"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每人服装数量，总服装数量</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夏装2套、春秋服2套、冬服1套；468件衣服、312条裤子、78丝巾领带条</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夏装2套、春秋服2套、冬服1套；300件衣服、100条裤子、50丝巾领带条</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采购职工服装单品数（件）</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1092件，每人14件</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966件，每人14件</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服装面料</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rPr>
            </w:pPr>
            <w:r>
              <w:rPr>
                <w:rFonts w:hint="eastAsia" w:ascii="Times New Roman" w:hAnsi="Times New Roman" w:eastAsia="仿宋_GB2312"/>
                <w:color w:val="000000"/>
                <w:kern w:val="0"/>
                <w:sz w:val="18"/>
                <w:szCs w:val="18"/>
                <w:lang w:val="en-US" w:eastAsia="zh-CN"/>
              </w:rPr>
              <w:t>冬装面料80%羊毛，其他加入桑蚕丝，羊绒等；夏装全棉</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rPr>
            </w:pPr>
            <w:r>
              <w:rPr>
                <w:rFonts w:hint="eastAsia" w:ascii="Times New Roman" w:hAnsi="Times New Roman" w:eastAsia="仿宋_GB2312"/>
                <w:color w:val="000000"/>
                <w:kern w:val="0"/>
                <w:sz w:val="18"/>
                <w:szCs w:val="18"/>
                <w:lang w:val="en-US" w:eastAsia="zh-CN"/>
              </w:rPr>
              <w:t>冬装面80%羊毛，其他加入桑蚕丝，羊绒等；夏装全棉</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服装重量</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冬装≥610g/m夏装≥460g/m</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冬装≥610g/m夏装≥460g/m</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18"/>
                <w:szCs w:val="18"/>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项目交货期</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签订合同后30日内完成交货</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交货进度100%</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eastAsia="zh-CN"/>
              </w:rPr>
            </w:pPr>
            <w:r>
              <w:rPr>
                <w:rFonts w:hint="default" w:ascii="Times New Roman" w:hAnsi="Times New Roman" w:eastAsia="仿宋_GB2312"/>
                <w:color w:val="000000"/>
                <w:kern w:val="0"/>
                <w:szCs w:val="21"/>
                <w:lang w:eastAsia="zh-CN"/>
              </w:rPr>
              <w:t>服装购置单价</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Cs w:val="21"/>
                <w:lang w:val="en-US" w:eastAsia="zh-CN"/>
              </w:rPr>
              <w:t>单价不超过7080元/人</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Cs w:val="21"/>
                <w:lang w:val="en-US" w:eastAsia="zh-CN"/>
              </w:rPr>
              <w:t>单价不超过7080元/人</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项目总成本</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≤55.22万万元</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51.9万元</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对交易大厅服务水平的影响</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提升明显</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提升明显</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783" w:type="dxa"/>
            <w:gridSpan w:val="2"/>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9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57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对推进营商环境发展的可持续影响</w:t>
            </w:r>
          </w:p>
        </w:tc>
        <w:tc>
          <w:tcPr>
            <w:tcW w:w="129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成效明显</w:t>
            </w:r>
          </w:p>
        </w:tc>
        <w:tc>
          <w:tcPr>
            <w:tcW w:w="1350" w:type="dxa"/>
            <w:gridSpan w:val="3"/>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成效明显</w:t>
            </w:r>
          </w:p>
        </w:tc>
        <w:tc>
          <w:tcPr>
            <w:tcW w:w="645"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0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421"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gridBefore w:val="1"/>
          <w:wBefore w:w="740" w:type="dxa"/>
          <w:trHeight w:val="4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783"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9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57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129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1350" w:type="dxa"/>
            <w:gridSpan w:val="3"/>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p>
        </w:tc>
        <w:tc>
          <w:tcPr>
            <w:tcW w:w="64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70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14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156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783"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30</w:t>
            </w:r>
            <w:r>
              <w:rPr>
                <w:rFonts w:ascii="Times New Roman" w:hAnsi="Times New Roman" w:eastAsia="仿宋_GB2312"/>
                <w:color w:val="000000"/>
                <w:kern w:val="0"/>
                <w:szCs w:val="21"/>
              </w:rPr>
              <w:t>分）</w:t>
            </w:r>
          </w:p>
        </w:tc>
        <w:tc>
          <w:tcPr>
            <w:tcW w:w="1095"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575" w:type="dxa"/>
            <w:gridSpan w:val="2"/>
            <w:tcBorders>
              <w:top w:val="nil"/>
              <w:left w:val="nil"/>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投标人</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监委、代理机构及招标人满意</w:t>
            </w:r>
            <w:r>
              <w:rPr>
                <w:rFonts w:hint="eastAsia" w:ascii="Times New Roman" w:hAnsi="Times New Roman" w:eastAsia="仿宋_GB2312"/>
                <w:color w:val="000000"/>
                <w:kern w:val="0"/>
                <w:szCs w:val="21"/>
                <w:lang w:val="en-US" w:eastAsia="zh-CN"/>
              </w:rPr>
              <w:t>度</w:t>
            </w:r>
          </w:p>
        </w:tc>
        <w:tc>
          <w:tcPr>
            <w:tcW w:w="1290"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w:t>
            </w:r>
            <w:r>
              <w:rPr>
                <w:rFonts w:hint="eastAsia" w:ascii="Times New Roman" w:hAnsi="Times New Roman" w:eastAsia="仿宋_GB2312"/>
                <w:color w:val="000000"/>
                <w:kern w:val="0"/>
                <w:szCs w:val="21"/>
              </w:rPr>
              <w:t>9</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w:t>
            </w:r>
          </w:p>
        </w:tc>
        <w:tc>
          <w:tcPr>
            <w:tcW w:w="1350" w:type="dxa"/>
            <w:gridSpan w:val="3"/>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w:t>
            </w:r>
            <w:r>
              <w:rPr>
                <w:rFonts w:hint="eastAsia" w:ascii="Times New Roman" w:hAnsi="Times New Roman" w:eastAsia="仿宋_GB2312"/>
                <w:color w:val="000000"/>
                <w:kern w:val="0"/>
                <w:szCs w:val="21"/>
              </w:rPr>
              <w:t>9</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7228"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黑体"/>
          <w:sz w:val="32"/>
          <w:szCs w:val="32"/>
        </w:rPr>
      </w:pPr>
    </w:p>
    <w:p>
      <w:pPr>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8</w:t>
      </w: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627"/>
        <w:gridCol w:w="1125"/>
        <w:gridCol w:w="578"/>
        <w:gridCol w:w="697"/>
        <w:gridCol w:w="1429"/>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rPr>
              <w:t>中心信息化运维租赁及测评费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50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衡阳市政府</w:t>
            </w:r>
          </w:p>
        </w:tc>
        <w:tc>
          <w:tcPr>
            <w:tcW w:w="11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270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trHeight w:val="46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627"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25" w:type="dxa"/>
            <w:tcBorders>
              <w:top w:val="nil"/>
              <w:left w:val="nil"/>
              <w:bottom w:val="single" w:color="auto" w:sz="4" w:space="0"/>
              <w:right w:val="single" w:color="auto" w:sz="4" w:space="0"/>
            </w:tcBorders>
            <w:shd w:val="clear" w:color="auto" w:fill="auto"/>
            <w:noWrap/>
          </w:tcPr>
          <w:p>
            <w:pPr>
              <w:widowControl/>
              <w:spacing w:line="240" w:lineRule="exact"/>
              <w:ind w:firstLine="210" w:firstLineChars="1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pPr>
              <w:widowControl/>
              <w:spacing w:line="240" w:lineRule="exact"/>
              <w:ind w:firstLine="210" w:firstLineChars="100"/>
              <w:jc w:val="center"/>
              <w:rPr>
                <w:rFonts w:ascii="Times New Roman" w:hAnsi="Times New Roman" w:eastAsia="仿宋_GB2312"/>
                <w:szCs w:val="21"/>
              </w:rPr>
            </w:pPr>
            <w:r>
              <w:rPr>
                <w:rFonts w:ascii="Times New Roman" w:hAnsi="Times New Roman" w:eastAsia="仿宋_GB2312" w:cs="Times New Roman"/>
                <w:color w:val="000000"/>
                <w:kern w:val="0"/>
                <w:szCs w:val="21"/>
              </w:rPr>
              <w:t>执行数</w:t>
            </w:r>
          </w:p>
        </w:tc>
        <w:tc>
          <w:tcPr>
            <w:tcW w:w="578"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69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429"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161.67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503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38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503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交易中心信息化日常维护，确保全年正常运行</w:t>
            </w:r>
          </w:p>
        </w:tc>
        <w:tc>
          <w:tcPr>
            <w:tcW w:w="38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交易中心信息化日常维护，确保全年正常运行</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本年度信息系统等级保护测评二级系统数量</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2个</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2个</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损坏设备修复率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政府采购规范性</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合规</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合规</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网络事件响应时间</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≤30分钟</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≤35分钟</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信息系统平均故障时间</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≤2小时</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≤2小时</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总维护成本</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155.37万元</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155.37万元</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设备故障降低率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≥99%</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沟通协调机制健全性</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健全</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健全</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长效管理制度健全性</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健全</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健全</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分）</w:t>
            </w:r>
          </w:p>
        </w:tc>
        <w:tc>
          <w:tcPr>
            <w:tcW w:w="1261" w:type="dxa"/>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投标人</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监委、代理机构及招标人满意</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95%以上</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729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spacing w:line="600" w:lineRule="exact"/>
        <w:jc w:val="left"/>
        <w:rPr>
          <w:rFonts w:ascii="Times New Roman" w:hAnsi="Times New Roman" w:eastAsia="黑体"/>
          <w:sz w:val="32"/>
          <w:szCs w:val="32"/>
        </w:rPr>
      </w:pPr>
    </w:p>
    <w:p>
      <w:pPr>
        <w:jc w:val="both"/>
        <w:rPr>
          <w:rFonts w:ascii="Times New Roman" w:hAnsi="Times New Roman" w:eastAsia="黑体"/>
          <w:sz w:val="32"/>
          <w:szCs w:val="32"/>
        </w:rPr>
      </w:pPr>
    </w:p>
    <w:p>
      <w:pPr>
        <w:spacing w:line="600" w:lineRule="exact"/>
        <w:jc w:val="center"/>
        <w:rPr>
          <w:rFonts w:ascii="方正小标宋简体" w:hAnsi="方正小标宋简体" w:eastAsia="方正小标宋简体" w:cs="方正小标宋简体"/>
          <w:sz w:val="44"/>
          <w:szCs w:val="44"/>
        </w:rPr>
      </w:pPr>
      <w:bookmarkStart w:id="3" w:name="_GoBack"/>
      <w:bookmarkEnd w:id="3"/>
      <w:r>
        <w:rPr>
          <w:rFonts w:hint="eastAsia" w:ascii="方正小标宋简体" w:hAnsi="方正小标宋简体" w:eastAsia="方正小标宋简体" w:cs="方正小标宋简体"/>
          <w:sz w:val="44"/>
          <w:szCs w:val="44"/>
        </w:rPr>
        <w:t>项目支出绩效自评报告</w:t>
      </w:r>
    </w:p>
    <w:p>
      <w:pPr>
        <w:adjustRightInd w:val="0"/>
        <w:spacing w:line="600" w:lineRule="exact"/>
        <w:ind w:right="641"/>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仿宋_GB2312" w:hAnsi="Verdana" w:eastAsia="仿宋_GB2312" w:cs="Times New Roman"/>
          <w:color w:val="000000"/>
          <w:kern w:val="2"/>
          <w:sz w:val="32"/>
          <w:szCs w:val="32"/>
          <w:shd w:val="clear" w:color="auto" w:fill="FFFFFF"/>
          <w:lang w:val="en-US" w:eastAsia="zh-CN" w:bidi="ar-SA"/>
        </w:rPr>
        <w:t>衡阳市公共资源交易中心是市人民政府直属正处级公益一类事业单位，我单位现有科处室10个，核定全额拨款事业编制人员63名，实有人数54人,退休人员7名，属市一级预算单位。内设办公室、组织人事科、财务科、信息管理科、建设工程交易科、政府采购交易科、自然资源交易科、国有产权交易科、现场管理科、市场主体服务科。</w:t>
      </w:r>
    </w:p>
    <w:p>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交易中心</w:t>
      </w:r>
      <w:r>
        <w:rPr>
          <w:rFonts w:hint="eastAsia" w:ascii="Times New Roman" w:hAnsi="Times New Roman" w:eastAsia="仿宋" w:cs="Times New Roman"/>
          <w:color w:val="000000"/>
          <w:kern w:val="2"/>
          <w:sz w:val="32"/>
          <w:szCs w:val="32"/>
          <w:lang w:val="en-US" w:eastAsia="zh-CN" w:bidi="ar-SA"/>
        </w:rPr>
        <w:t>2022年全年项目总收入572.29万元，其中财政拨款收入57.6万元，上年末结转253.73万元，追加项目经费260.96万元；全年项目总支出413.49元，其中专项资金251.82万元，其他项目资金161.67万元，年末结余项目资金158.8万元需跨年度使用。</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ascii="Times New Roman" w:hAnsi="Times New Roman" w:eastAsia="仿宋_GB2312"/>
          <w:sz w:val="32"/>
          <w:szCs w:val="32"/>
        </w:rPr>
        <w:t>（三）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一张网”电子化平台项目总体目标：</w:t>
      </w:r>
      <w:r>
        <w:rPr>
          <w:rFonts w:hint="eastAsia" w:ascii="Times New Roman" w:hAnsi="Times New Roman" w:eastAsia="仿宋" w:cs="Times New Roman"/>
          <w:color w:val="000000"/>
          <w:kern w:val="2"/>
          <w:sz w:val="32"/>
          <w:szCs w:val="32"/>
          <w:lang w:val="en-US" w:eastAsia="zh-CN" w:bidi="ar-SA"/>
        </w:rPr>
        <w:t>按照全省统一的公共资源交易信息建设标准规范进行开发建设，与省公共资源交易电子服务平台进行对接实现数据实时交互共享，并且做好监管信息与交易数据对接；年度目标：实现场地智能化总控平台计不见面开标。</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 xml:space="preserve"> 中心信息系统软件运维、网络租赁费及交易平台升级改造、测评总体目标：交易中心信息化日常维护，确保全年正常运行；年度目标：交易中心信息化日常维护，确保全年正常运行。</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档案室专项维修总体目标：做好档案管理工作，提高档案存放工作效率，保证中心档案保管质量;</w:t>
      </w:r>
      <w:r>
        <w:rPr>
          <w:rFonts w:ascii="Times New Roman" w:hAnsi="Times New Roman" w:eastAsia="仿宋_GB2312"/>
          <w:sz w:val="32"/>
          <w:szCs w:val="32"/>
        </w:rPr>
        <w:t>年度目标</w:t>
      </w:r>
      <w:r>
        <w:rPr>
          <w:rFonts w:hint="eastAsia" w:ascii="Times New Roman" w:hAnsi="Times New Roman" w:eastAsia="仿宋_GB2312"/>
          <w:sz w:val="32"/>
          <w:szCs w:val="32"/>
          <w:lang w:val="en-US" w:eastAsia="zh-CN"/>
        </w:rPr>
        <w:t>:</w:t>
      </w:r>
      <w:r>
        <w:rPr>
          <w:rFonts w:hint="eastAsia" w:ascii="Times New Roman" w:hAnsi="Times New Roman" w:eastAsia="仿宋" w:cs="Times New Roman"/>
          <w:color w:val="000000"/>
          <w:kern w:val="2"/>
          <w:sz w:val="32"/>
          <w:szCs w:val="32"/>
          <w:lang w:val="en-US" w:eastAsia="zh-CN" w:bidi="ar-SA"/>
        </w:rPr>
        <w:t>做好档案管理工作，提高档案存放工作效率，保证中心档案保管质量。</w:t>
      </w:r>
    </w:p>
    <w:p>
      <w:pPr>
        <w:adjustRightInd w:val="0"/>
        <w:snapToGrid w:val="0"/>
        <w:spacing w:line="600" w:lineRule="exact"/>
        <w:ind w:firstLine="640" w:firstLineChars="20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中心干部职工服装购置总体目标：树立良好的服务形象，促进公共资源交易中心队伍正规化、规范化；提高交易大厅人员素质形象；年度目标：树立良好的服务形象，促进公共资源交易中心队伍正规化、规范化，交易大厅人员素质形象显著提高。</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一）</w:t>
      </w:r>
      <w:r>
        <w:rPr>
          <w:rFonts w:hint="eastAsia" w:ascii="Times New Roman" w:hAnsi="Times New Roman" w:eastAsia="仿宋_GB2312"/>
          <w:sz w:val="32"/>
          <w:szCs w:val="32"/>
          <w:lang w:val="en-US" w:eastAsia="zh-CN"/>
        </w:rPr>
        <w:t>2022年度涉及的5个项目总收入为</w:t>
      </w:r>
      <w:r>
        <w:rPr>
          <w:rFonts w:hint="eastAsia" w:ascii="Times New Roman" w:hAnsi="Times New Roman" w:eastAsia="仿宋" w:cs="Times New Roman"/>
          <w:color w:val="000000"/>
          <w:kern w:val="2"/>
          <w:sz w:val="32"/>
          <w:szCs w:val="32"/>
          <w:lang w:val="en-US" w:eastAsia="zh-CN" w:bidi="ar-SA"/>
        </w:rPr>
        <w:t>572.29万元</w:t>
      </w:r>
      <w:r>
        <w:rPr>
          <w:rFonts w:hint="eastAsia" w:ascii="Times New Roman" w:hAnsi="Times New Roman" w:eastAsia="仿宋_GB2312"/>
          <w:sz w:val="32"/>
          <w:szCs w:val="32"/>
          <w:lang w:val="en-US" w:eastAsia="zh-CN"/>
        </w:rPr>
        <w:t>，均为财政拨款。其中上年结余253.73万元、年初预算57.60万元、追加资金260.96万元，实际支出413.49万元。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二</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2022年项目总支出为413.49万元，其中：</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“一张网”平台电子化：总投入131.43万元；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中心信息化运维租赁及测评费：总投入161.67万元；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档案室专项维修：总投入28.6万元；</w:t>
      </w:r>
    </w:p>
    <w:p>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中心职工服装购置：总投入35.85万元</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年我</w:t>
      </w:r>
      <w:r>
        <w:rPr>
          <w:rFonts w:hint="eastAsia" w:ascii="Times New Roman" w:hAnsi="Times New Roman" w:eastAsia="仿宋_GB2312"/>
          <w:sz w:val="32"/>
          <w:szCs w:val="32"/>
          <w:lang w:val="en-US" w:eastAsia="zh-CN"/>
        </w:rPr>
        <w:t>中心</w:t>
      </w:r>
      <w:r>
        <w:rPr>
          <w:rFonts w:hint="eastAsia" w:ascii="Times New Roman" w:hAnsi="Times New Roman" w:eastAsia="仿宋_GB2312"/>
          <w:sz w:val="32"/>
          <w:szCs w:val="32"/>
        </w:rPr>
        <w:t>严格按照相关要求对预算执行以及预算管理情况进行动态监控，依据我单位制定的《财务管理制度》，对项目经费的实施、使用进行监督管理，确保专款专用，严禁任何截留、挤占、挪用专项经费的行为。全年项目经费</w:t>
      </w:r>
      <w:r>
        <w:rPr>
          <w:rFonts w:hint="eastAsia" w:ascii="Times New Roman" w:hAnsi="Times New Roman" w:eastAsia="仿宋_GB2312"/>
          <w:sz w:val="32"/>
          <w:szCs w:val="32"/>
          <w:lang w:val="en-US" w:eastAsia="zh-CN"/>
        </w:rPr>
        <w:t>总收入</w:t>
      </w:r>
      <w:r>
        <w:rPr>
          <w:rFonts w:hint="eastAsia" w:ascii="Times New Roman" w:hAnsi="Times New Roman" w:eastAsia="仿宋_GB2312"/>
          <w:sz w:val="32"/>
          <w:szCs w:val="32"/>
        </w:rPr>
        <w:t>共计</w:t>
      </w:r>
      <w:r>
        <w:rPr>
          <w:rFonts w:hint="eastAsia" w:ascii="Times New Roman" w:hAnsi="Times New Roman" w:eastAsia="仿宋" w:cs="Times New Roman"/>
          <w:color w:val="000000"/>
          <w:kern w:val="2"/>
          <w:sz w:val="32"/>
          <w:szCs w:val="32"/>
          <w:lang w:val="en-US" w:eastAsia="zh-CN" w:bidi="ar-SA"/>
        </w:rPr>
        <w:t>572.29</w:t>
      </w:r>
      <w:r>
        <w:rPr>
          <w:rFonts w:hint="eastAsia" w:ascii="Times New Roman" w:hAnsi="Times New Roman" w:eastAsia="仿宋_GB2312"/>
          <w:sz w:val="32"/>
          <w:szCs w:val="32"/>
        </w:rPr>
        <w:t>万元，实际支付</w:t>
      </w:r>
      <w:r>
        <w:rPr>
          <w:rFonts w:hint="eastAsia" w:ascii="Times New Roman" w:hAnsi="Times New Roman" w:eastAsia="仿宋_GB2312"/>
          <w:sz w:val="32"/>
          <w:szCs w:val="32"/>
          <w:lang w:val="en-US" w:eastAsia="zh-CN"/>
        </w:rPr>
        <w:t>413.49</w:t>
      </w:r>
      <w:r>
        <w:rPr>
          <w:rFonts w:hint="eastAsia" w:ascii="Times New Roman" w:hAnsi="Times New Roman" w:eastAsia="仿宋_GB2312"/>
          <w:sz w:val="32"/>
          <w:szCs w:val="32"/>
        </w:rPr>
        <w:t>万元，支出率</w:t>
      </w:r>
      <w:r>
        <w:rPr>
          <w:rFonts w:hint="eastAsia" w:ascii="Times New Roman" w:hAnsi="Times New Roman" w:eastAsia="仿宋_GB2312"/>
          <w:sz w:val="32"/>
          <w:szCs w:val="32"/>
          <w:lang w:val="en-US" w:eastAsia="zh-CN"/>
        </w:rPr>
        <w:t>72.25</w:t>
      </w:r>
      <w:r>
        <w:rPr>
          <w:rFonts w:hint="eastAsia" w:ascii="Times New Roman" w:hAnsi="Times New Roman" w:eastAsia="仿宋_GB2312"/>
          <w:sz w:val="32"/>
          <w:szCs w:val="32"/>
        </w:rPr>
        <w:t>%。存在问题主要是预算资金拨付不及时；执行进度较慢。</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pPr>
        <w:adjustRightInd w:val="0"/>
        <w:snapToGrid w:val="0"/>
        <w:spacing w:line="600" w:lineRule="exact"/>
        <w:ind w:firstLine="640" w:firstLineChars="200"/>
        <w:rPr>
          <w:rFonts w:hint="default" w:ascii="Times New Roman" w:hAnsi="Times New Roman" w:eastAsia="仿宋_GB2312"/>
          <w:sz w:val="32"/>
          <w:szCs w:val="32"/>
          <w:lang w:val="en-US"/>
        </w:rPr>
      </w:pPr>
      <w:r>
        <w:rPr>
          <w:rFonts w:ascii="Times New Roman" w:hAnsi="Times New Roman" w:eastAsia="仿宋_GB2312"/>
          <w:sz w:val="32"/>
          <w:szCs w:val="32"/>
        </w:rPr>
        <w:t>（一）</w:t>
      </w:r>
      <w:r>
        <w:rPr>
          <w:rFonts w:hint="eastAsia" w:ascii="Times New Roman" w:hAnsi="Times New Roman" w:eastAsia="仿宋_GB2312"/>
          <w:sz w:val="32"/>
          <w:szCs w:val="32"/>
          <w:lang w:val="en-US" w:eastAsia="zh-CN"/>
        </w:rPr>
        <w:t>2022年我单位共6个项目，年初预算资金57.6万元。基础信息完善、预算编制完整、资金使用合规、管理制度健全。在年底顺利完成年初总体绩效目标。</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2022年我中心项目均经过单位“三重一大”的相关规定落实，进行内部比选，向市财政局备案，供应商的选择经过党组会议讨论决策，工程维修是尚未验收的，按合同约定保质保量完成等。</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pPr>
        <w:numPr>
          <w:ilvl w:val="0"/>
          <w:numId w:val="0"/>
        </w:num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“一张网”电子化平台项目：经批复的预算金额为536.48万元，全年实际支出131.43万元。项目产出指标评分49分；效益指标评分30分；满意度指标20分。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中心信息化运维租赁及测评项目：年初预算金额为57.6万元，全年实际支出161.67万元。产出指标评分为50分；效益指标评分为30分；满意度指标20分。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档案室专项维修项目：全年实际支出28.36万元。项目产出指标评分50分，效益指标评分为30分；满意度指标20分。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政府采购全流程电子化项目：全年实际支出56.18万元。项目指标评分50分，效益指标评分为30分；满意度指标20分。</w:t>
      </w:r>
    </w:p>
    <w:p>
      <w:pPr>
        <w:numPr>
          <w:ilvl w:val="0"/>
          <w:numId w:val="0"/>
        </w:num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中心职工服装购置：全年实际支出35.85万元。项目产出指标评分50分，效益指标评分为30分；满意度指标20分。</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进一步加强费用测算，协调财政部门及时安排预算资金，合理控制项目执行进度。</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通过本单位202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支出绩效自评工作的开展，既发现了客观存在的问题，又明确了整改提高的措施，必将有利于提升项目执行的科学性、合理性和规范性，有利于进一步强化项目实施单位的主体责任，有利于提高财政资金的使用效益。</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pPr>
        <w:adjustRightInd w:val="0"/>
        <w:snapToGrid w:val="0"/>
        <w:spacing w:line="600" w:lineRule="exact"/>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- 15 -</w:t>
    </w:r>
    <w:r>
      <w:rPr>
        <w:rStyle w:val="11"/>
        <w:rFonts w:ascii="Times New Roman" w:hAnsi="Times New Roman"/>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90FD"/>
    <w:multiLevelType w:val="singleLevel"/>
    <w:tmpl w:val="601F90FD"/>
    <w:lvl w:ilvl="0" w:tentative="0">
      <w:start w:val="1"/>
      <w:numFmt w:val="chineseCounting"/>
      <w:suff w:val="nothing"/>
      <w:lvlText w:val="%1、"/>
      <w:lvlJc w:val="left"/>
      <w:rPr>
        <w:rFonts w:hint="eastAsia"/>
      </w:rPr>
    </w:lvl>
  </w:abstractNum>
  <w:abstractNum w:abstractNumId="1">
    <w:nsid w:val="74F98E86"/>
    <w:multiLevelType w:val="singleLevel"/>
    <w:tmpl w:val="74F98E8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ODA5MDU3NzA0OTliNzM3NzNlM2I0OWRjMjc2ZjM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C737056"/>
    <w:rsid w:val="0F262ACD"/>
    <w:rsid w:val="15DA6FC6"/>
    <w:rsid w:val="165137C9"/>
    <w:rsid w:val="18934E7A"/>
    <w:rsid w:val="1F378925"/>
    <w:rsid w:val="217D46AD"/>
    <w:rsid w:val="21AB7AF0"/>
    <w:rsid w:val="2B12239C"/>
    <w:rsid w:val="2BEE714A"/>
    <w:rsid w:val="2CA61530"/>
    <w:rsid w:val="2E660FDE"/>
    <w:rsid w:val="35F95690"/>
    <w:rsid w:val="36573D06"/>
    <w:rsid w:val="37204C92"/>
    <w:rsid w:val="398B5761"/>
    <w:rsid w:val="3A987BA2"/>
    <w:rsid w:val="3BFC0501"/>
    <w:rsid w:val="3F52287D"/>
    <w:rsid w:val="3FAE1092"/>
    <w:rsid w:val="416B7C26"/>
    <w:rsid w:val="41C61B6B"/>
    <w:rsid w:val="44A75419"/>
    <w:rsid w:val="4A6F6D2D"/>
    <w:rsid w:val="54681C4F"/>
    <w:rsid w:val="562650C4"/>
    <w:rsid w:val="597F27B3"/>
    <w:rsid w:val="5AFE727D"/>
    <w:rsid w:val="5C2F64BB"/>
    <w:rsid w:val="5F7FE72F"/>
    <w:rsid w:val="609A4BD3"/>
    <w:rsid w:val="62882016"/>
    <w:rsid w:val="62F62474"/>
    <w:rsid w:val="640815D9"/>
    <w:rsid w:val="65B31738"/>
    <w:rsid w:val="66B91727"/>
    <w:rsid w:val="67561155"/>
    <w:rsid w:val="68257B8E"/>
    <w:rsid w:val="6AF80B9B"/>
    <w:rsid w:val="6B17253F"/>
    <w:rsid w:val="6BAD2A66"/>
    <w:rsid w:val="6CDE3E9F"/>
    <w:rsid w:val="6DEF68EB"/>
    <w:rsid w:val="6EE94DE7"/>
    <w:rsid w:val="6EF74444"/>
    <w:rsid w:val="71123062"/>
    <w:rsid w:val="71125845"/>
    <w:rsid w:val="72FAD606"/>
    <w:rsid w:val="734F7F12"/>
    <w:rsid w:val="773A3B3B"/>
    <w:rsid w:val="77A24B7F"/>
    <w:rsid w:val="79A2386E"/>
    <w:rsid w:val="7CFFDC51"/>
    <w:rsid w:val="7D5FEC98"/>
    <w:rsid w:val="7D7C5FD7"/>
    <w:rsid w:val="7E7BEBF1"/>
    <w:rsid w:val="7F20194F"/>
    <w:rsid w:val="7F4A2182"/>
    <w:rsid w:val="7F531EB8"/>
    <w:rsid w:val="7F910F92"/>
    <w:rsid w:val="7FFE2340"/>
    <w:rsid w:val="AE79595D"/>
    <w:rsid w:val="BE7E71F0"/>
    <w:rsid w:val="BFB72D82"/>
    <w:rsid w:val="DFFDB352"/>
    <w:rsid w:val="EAF7725B"/>
    <w:rsid w:val="EFEF518D"/>
    <w:rsid w:val="F5FB5A9C"/>
    <w:rsid w:val="F7DBBB56"/>
    <w:rsid w:val="F7E3E98B"/>
    <w:rsid w:val="FCF63E1B"/>
    <w:rsid w:val="FDFD96B8"/>
    <w:rsid w:val="FF3FA9CD"/>
    <w:rsid w:val="FF826338"/>
    <w:rsid w:val="FFE91C61"/>
    <w:rsid w:val="FFED996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locked/>
    <w:uiPriority w:val="1"/>
    <w:pPr>
      <w:ind w:left="201"/>
      <w:outlineLvl w:val="2"/>
    </w:pPr>
    <w:rPr>
      <w:rFonts w:ascii="新宋体" w:hAnsi="新宋体" w:eastAsia="新宋体" w:cs="新宋体"/>
      <w:sz w:val="15"/>
      <w:szCs w:val="15"/>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rPr>
      <w:rFonts w:ascii="Times New Roman" w:hAnsi="Times New Roman"/>
      <w:szCs w:val="24"/>
    </w:rPr>
  </w:style>
  <w:style w:type="paragraph" w:styleId="4">
    <w:name w:val="Balloon Text"/>
    <w:basedOn w:val="1"/>
    <w:link w:val="14"/>
    <w:qFormat/>
    <w:uiPriority w:val="99"/>
    <w:rPr>
      <w:rFonts w:ascii="Times New Roman" w:hAnsi="Times New Roman"/>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0"/>
    <w:rPr>
      <w:b/>
    </w:rPr>
  </w:style>
  <w:style w:type="character" w:styleId="11">
    <w:name w:val="page number"/>
    <w:basedOn w:val="9"/>
    <w:qFormat/>
    <w:uiPriority w:val="99"/>
    <w:rPr>
      <w:rFonts w:cs="Times New Roman"/>
    </w:rPr>
  </w:style>
  <w:style w:type="character" w:styleId="12">
    <w:name w:val="annotation reference"/>
    <w:basedOn w:val="9"/>
    <w:qFormat/>
    <w:uiPriority w:val="99"/>
    <w:rPr>
      <w:rFonts w:cs="Times New Roman"/>
      <w:sz w:val="21"/>
      <w:szCs w:val="21"/>
    </w:rPr>
  </w:style>
  <w:style w:type="character" w:customStyle="1" w:styleId="13">
    <w:name w:val="批注文字 Char"/>
    <w:basedOn w:val="9"/>
    <w:link w:val="3"/>
    <w:qFormat/>
    <w:locked/>
    <w:uiPriority w:val="99"/>
    <w:rPr>
      <w:rFonts w:ascii="Times New Roman" w:hAnsi="Times New Roman" w:eastAsia="宋体" w:cs="Times New Roman"/>
      <w:sz w:val="24"/>
      <w:szCs w:val="24"/>
    </w:rPr>
  </w:style>
  <w:style w:type="character" w:customStyle="1" w:styleId="14">
    <w:name w:val="批注框文本 Char"/>
    <w:basedOn w:val="9"/>
    <w:link w:val="4"/>
    <w:qFormat/>
    <w:locked/>
    <w:uiPriority w:val="99"/>
    <w:rPr>
      <w:rFonts w:ascii="Times New Roman" w:hAnsi="Times New Roman" w:eastAsia="宋体" w:cs="Times New Roman"/>
      <w:sz w:val="18"/>
      <w:szCs w:val="18"/>
    </w:rPr>
  </w:style>
  <w:style w:type="character" w:customStyle="1" w:styleId="15">
    <w:name w:val="页脚 Char"/>
    <w:basedOn w:val="9"/>
    <w:link w:val="5"/>
    <w:qFormat/>
    <w:locked/>
    <w:uiPriority w:val="99"/>
    <w:rPr>
      <w:rFonts w:cs="Times New Roman"/>
      <w:sz w:val="18"/>
      <w:szCs w:val="18"/>
    </w:rPr>
  </w:style>
  <w:style w:type="character" w:customStyle="1" w:styleId="16">
    <w:name w:val="页眉 Char"/>
    <w:basedOn w:val="9"/>
    <w:link w:val="6"/>
    <w:qFormat/>
    <w:locked/>
    <w:uiPriority w:val="99"/>
    <w:rPr>
      <w:rFonts w:cs="Times New Roman"/>
      <w:sz w:val="18"/>
      <w:szCs w:val="18"/>
    </w:rPr>
  </w:style>
  <w:style w:type="paragraph" w:customStyle="1" w:styleId="17">
    <w:name w:val="列出段落1"/>
    <w:basedOn w:val="1"/>
    <w:qFormat/>
    <w:uiPriority w:val="99"/>
    <w:pPr>
      <w:ind w:firstLine="420" w:firstLineChars="200"/>
    </w:pPr>
    <w:rPr>
      <w:rFonts w:ascii="Times New Roman" w:hAnsi="Times New Roman"/>
      <w:szCs w:val="24"/>
    </w:rPr>
  </w:style>
  <w:style w:type="paragraph" w:styleId="18">
    <w:name w:val="List Paragraph"/>
    <w:basedOn w:val="1"/>
    <w:qFormat/>
    <w:uiPriority w:val="99"/>
    <w:pPr>
      <w:ind w:firstLine="420" w:firstLineChars="200"/>
    </w:pPr>
    <w:rPr>
      <w:rFonts w:ascii="Times New Roman" w:hAnsi="Times New Roman"/>
      <w:szCs w:val="24"/>
    </w:rPr>
  </w:style>
  <w:style w:type="paragraph" w:customStyle="1" w:styleId="19">
    <w:name w:val="修订1"/>
    <w:hidden/>
    <w:qFormat/>
    <w:uiPriority w:val="99"/>
    <w:rPr>
      <w:rFonts w:ascii="Times New Roman" w:hAnsi="Times New Roman" w:eastAsia="宋体" w:cs="Times New Roman"/>
      <w:kern w:val="2"/>
      <w:sz w:val="21"/>
      <w:szCs w:val="24"/>
      <w:lang w:val="en-US" w:eastAsia="zh-CN" w:bidi="ar-SA"/>
    </w:rPr>
  </w:style>
  <w:style w:type="character" w:customStyle="1" w:styleId="20">
    <w:name w:val="font21"/>
    <w:basedOn w:val="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4024</Words>
  <Characters>4260</Characters>
  <Lines>36</Lines>
  <Paragraphs>10</Paragraphs>
  <TotalTime>385</TotalTime>
  <ScaleCrop>false</ScaleCrop>
  <LinksUpToDate>false</LinksUpToDate>
  <CharactersWithSpaces>4816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2021-01-22T23:42:00Z</dcterms:created>
  <dc:creator>lenovo</dc:creator>
  <cp:lastModifiedBy>Mr.Yang</cp:lastModifiedBy>
  <cp:lastPrinted>2023-04-11T03:09:00Z</cp:lastPrinted>
  <dcterms:modified xsi:type="dcterms:W3CDTF">2024-09-06T03:48:06Z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8F6E326B25B94BAB9D138FBD9BC9BCDC</vt:lpwstr>
  </property>
</Properties>
</file>