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"/>
        <w:rPr>
          <w:rFonts w:hint="default" w:ascii="Times New Roman" w:eastAsia="宋体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2"/>
        <w:spacing w:before="37"/>
        <w:ind w:left="167"/>
      </w:pPr>
      <w:r>
        <w:t>衡阳市投标担保</w:t>
      </w:r>
    </w:p>
    <w:p>
      <w:pPr>
        <w:pStyle w:val="5"/>
        <w:spacing w:before="1"/>
        <w:rPr>
          <w:b/>
          <w:sz w:val="32"/>
        </w:rPr>
      </w:pPr>
    </w:p>
    <w:p>
      <w:pPr>
        <w:spacing w:before="0"/>
        <w:ind w:left="166" w:right="449" w:firstLine="0"/>
        <w:jc w:val="center"/>
        <w:rPr>
          <w:b/>
          <w:sz w:val="44"/>
        </w:rPr>
      </w:pPr>
      <w:r>
        <w:rPr>
          <w:b/>
          <w:sz w:val="44"/>
        </w:rPr>
        <w:t>承办、撤销、赔偿规则标准</w:t>
      </w:r>
    </w:p>
    <w:p>
      <w:pPr>
        <w:pStyle w:val="5"/>
        <w:spacing w:before="0"/>
        <w:rPr>
          <w:b/>
          <w:sz w:val="32"/>
        </w:rPr>
      </w:pPr>
    </w:p>
    <w:p>
      <w:pPr>
        <w:pStyle w:val="3"/>
      </w:pPr>
      <w:r>
        <w:t>一、 承办规则</w:t>
      </w:r>
    </w:p>
    <w:p>
      <w:pPr>
        <w:pStyle w:val="5"/>
        <w:spacing w:before="12"/>
        <w:rPr>
          <w:b/>
          <w:sz w:val="25"/>
        </w:rPr>
      </w:pPr>
    </w:p>
    <w:p>
      <w:pPr>
        <w:pStyle w:val="4"/>
      </w:pPr>
      <w:r>
        <w:t>（一）申请人定义</w:t>
      </w:r>
    </w:p>
    <w:p>
      <w:pPr>
        <w:pStyle w:val="5"/>
        <w:spacing w:before="160"/>
        <w:ind w:left="580"/>
      </w:pPr>
      <w:r>
        <w:t>凡符合相关法律法规要求，参加投标的企业或供应商均可作为电子投标保函申请人。</w:t>
      </w:r>
    </w:p>
    <w:p>
      <w:pPr>
        <w:pStyle w:val="4"/>
        <w:spacing w:before="159"/>
      </w:pPr>
      <w:r>
        <w:t>（二）受益人定义</w:t>
      </w:r>
    </w:p>
    <w:p>
      <w:pPr>
        <w:pStyle w:val="5"/>
        <w:spacing w:before="160"/>
        <w:ind w:left="580"/>
      </w:pPr>
      <w:r>
        <w:t>凡符合相关法律法规要求，向申请人进行招标或采购的均可作为受益人。</w:t>
      </w:r>
    </w:p>
    <w:p>
      <w:pPr>
        <w:pStyle w:val="4"/>
        <w:spacing w:before="161"/>
      </w:pPr>
      <w:r>
        <w:t>（三）电子投标保函金额</w:t>
      </w:r>
    </w:p>
    <w:p>
      <w:pPr>
        <w:pStyle w:val="5"/>
        <w:ind w:left="580"/>
      </w:pPr>
      <w:r>
        <w:t>电子投标保函金额与《招标文件》中投标保证金的金额一致。</w:t>
      </w:r>
    </w:p>
    <w:p>
      <w:pPr>
        <w:pStyle w:val="4"/>
        <w:spacing w:before="161"/>
      </w:pPr>
      <w:r>
        <w:t>（四）电子投标保函费率</w:t>
      </w:r>
    </w:p>
    <w:p>
      <w:pPr>
        <w:pStyle w:val="5"/>
        <w:spacing w:line="364" w:lineRule="auto"/>
        <w:ind w:left="100" w:right="359" w:firstLine="480"/>
      </w:pPr>
      <w:r>
        <w:rPr>
          <w:spacing w:val="-7"/>
        </w:rPr>
        <w:t>综合所在行业、信用等级、招标文件、免赔、抵</w:t>
      </w:r>
      <w:r>
        <w:t>（质</w:t>
      </w:r>
      <w:r>
        <w:rPr>
          <w:spacing w:val="-15"/>
        </w:rPr>
        <w:t>）</w:t>
      </w:r>
      <w:r>
        <w:rPr>
          <w:spacing w:val="-3"/>
        </w:rPr>
        <w:t>押物等因素，各担保公司相</w:t>
      </w:r>
      <w:r>
        <w:rPr>
          <w:spacing w:val="-13"/>
        </w:rPr>
        <w:t xml:space="preserve">关费率为 </w:t>
      </w:r>
      <w:r>
        <w:rPr>
          <w:rFonts w:ascii="Times New Roman" w:eastAsia="Times New Roman"/>
        </w:rPr>
        <w:t>0.8%</w:t>
      </w:r>
      <w:r>
        <w:rPr>
          <w:spacing w:val="-6"/>
        </w:rPr>
        <w:t xml:space="preserve">，最低担保费为人民币 </w:t>
      </w:r>
      <w:r>
        <w:rPr>
          <w:rFonts w:ascii="Times New Roman" w:eastAsia="Times New Roman"/>
        </w:rPr>
        <w:t xml:space="preserve">500 </w:t>
      </w:r>
      <w:r>
        <w:t>元。</w:t>
      </w:r>
    </w:p>
    <w:p>
      <w:pPr>
        <w:pStyle w:val="4"/>
        <w:spacing w:line="307" w:lineRule="exact"/>
      </w:pPr>
      <w:r>
        <w:t>（五）电子投标保函责任期限</w:t>
      </w:r>
    </w:p>
    <w:p>
      <w:pPr>
        <w:pStyle w:val="5"/>
        <w:spacing w:before="160" w:line="362" w:lineRule="auto"/>
        <w:ind w:left="100" w:right="359" w:firstLine="480"/>
      </w:pPr>
      <w:r>
        <w:rPr>
          <w:spacing w:val="-7"/>
        </w:rPr>
        <w:t>责任期限不低于投标有效期，具体由申请人与各担保公司协商，并在电子投标保函</w:t>
      </w:r>
      <w:r>
        <w:t>中载明，最长不超过一年。</w:t>
      </w:r>
    </w:p>
    <w:p>
      <w:pPr>
        <w:pStyle w:val="4"/>
        <w:spacing w:before="5"/>
      </w:pPr>
      <w:r>
        <w:t>（六）超额承办</w:t>
      </w:r>
    </w:p>
    <w:p>
      <w:pPr>
        <w:pStyle w:val="5"/>
        <w:ind w:left="191" w:right="449"/>
        <w:jc w:val="center"/>
      </w:pPr>
      <w:r>
        <w:rPr>
          <w:spacing w:val="-5"/>
        </w:rPr>
        <w:t xml:space="preserve">当投标保证金金额小于等于 </w:t>
      </w:r>
      <w:r>
        <w:rPr>
          <w:rFonts w:ascii="Times New Roman" w:eastAsia="Times New Roman"/>
        </w:rPr>
        <w:t xml:space="preserve">80 </w:t>
      </w:r>
      <w:r>
        <w:rPr>
          <w:spacing w:val="-17"/>
        </w:rPr>
        <w:t>万元时，担保公司可以选择性承办，具体承办情况如下：</w:t>
      </w:r>
    </w:p>
    <w:p>
      <w:pPr>
        <w:pStyle w:val="5"/>
        <w:spacing w:before="0"/>
        <w:rPr>
          <w:sz w:val="20"/>
        </w:rPr>
      </w:pPr>
    </w:p>
    <w:p>
      <w:pPr>
        <w:pStyle w:val="5"/>
        <w:spacing w:before="4"/>
        <w:rPr>
          <w:sz w:val="13"/>
        </w:rPr>
      </w:pPr>
    </w:p>
    <w:tbl>
      <w:tblPr>
        <w:tblStyle w:val="8"/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2192"/>
        <w:gridCol w:w="1138"/>
        <w:gridCol w:w="1162"/>
        <w:gridCol w:w="1023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302" w:type="dxa"/>
            <w:vMerge w:val="restart"/>
          </w:tcPr>
          <w:p>
            <w:pPr>
              <w:pStyle w:val="12"/>
              <w:spacing w:before="0"/>
              <w:rPr>
                <w:sz w:val="20"/>
              </w:rPr>
            </w:pPr>
          </w:p>
          <w:p>
            <w:pPr>
              <w:pStyle w:val="12"/>
              <w:spacing w:before="6"/>
              <w:rPr>
                <w:sz w:val="14"/>
              </w:rPr>
            </w:pPr>
          </w:p>
          <w:p>
            <w:pPr>
              <w:pStyle w:val="12"/>
              <w:ind w:left="518"/>
              <w:rPr>
                <w:b/>
                <w:sz w:val="21"/>
              </w:rPr>
            </w:pPr>
            <w:r>
              <w:rPr>
                <w:b/>
                <w:sz w:val="21"/>
              </w:rPr>
              <w:t>担保公司名称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192" w:type="dxa"/>
            <w:vMerge w:val="restart"/>
          </w:tcPr>
          <w:p>
            <w:pPr>
              <w:pStyle w:val="12"/>
              <w:spacing w:before="0"/>
              <w:rPr>
                <w:sz w:val="20"/>
              </w:rPr>
            </w:pPr>
          </w:p>
          <w:p>
            <w:pPr>
              <w:pStyle w:val="12"/>
              <w:spacing w:before="6"/>
              <w:rPr>
                <w:sz w:val="14"/>
              </w:rPr>
            </w:pPr>
          </w:p>
          <w:p>
            <w:pPr>
              <w:pStyle w:val="12"/>
              <w:ind w:left="671"/>
              <w:rPr>
                <w:b/>
                <w:sz w:val="21"/>
              </w:rPr>
            </w:pPr>
            <w:r>
              <w:rPr>
                <w:b/>
                <w:sz w:val="21"/>
              </w:rPr>
              <w:t>承办规则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300" w:type="dxa"/>
            <w:gridSpan w:val="2"/>
          </w:tcPr>
          <w:p>
            <w:pPr>
              <w:pStyle w:val="12"/>
              <w:spacing w:before="15"/>
              <w:ind w:left="621"/>
              <w:rPr>
                <w:b/>
                <w:sz w:val="21"/>
              </w:rPr>
            </w:pPr>
            <w:r>
              <w:rPr>
                <w:b/>
                <w:sz w:val="21"/>
              </w:rPr>
              <w:t>建设工程类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237" w:type="dxa"/>
            <w:gridSpan w:val="2"/>
          </w:tcPr>
          <w:p>
            <w:pPr>
              <w:pStyle w:val="12"/>
              <w:spacing w:before="15"/>
              <w:ind w:left="586"/>
              <w:rPr>
                <w:b/>
                <w:sz w:val="21"/>
              </w:rPr>
            </w:pPr>
            <w:r>
              <w:rPr>
                <w:b/>
                <w:sz w:val="21"/>
              </w:rPr>
              <w:t>政府采购类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2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12"/>
              <w:spacing w:before="3"/>
              <w:rPr>
                <w:sz w:val="17"/>
              </w:rPr>
            </w:pPr>
          </w:p>
          <w:p>
            <w:pPr>
              <w:pStyle w:val="12"/>
              <w:ind w:left="20" w:righ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是否为自核</w:t>
            </w:r>
          </w:p>
        </w:tc>
        <w:tc>
          <w:tcPr>
            <w:tcW w:w="1162" w:type="dxa"/>
          </w:tcPr>
          <w:p>
            <w:pPr>
              <w:pStyle w:val="12"/>
              <w:spacing w:before="17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是否同意承</w:t>
            </w:r>
          </w:p>
          <w:p>
            <w:pPr>
              <w:pStyle w:val="12"/>
              <w:spacing w:before="139"/>
              <w:ind w:left="471"/>
              <w:rPr>
                <w:b/>
                <w:sz w:val="21"/>
              </w:rPr>
            </w:pPr>
            <w:r>
              <w:rPr>
                <w:b/>
                <w:sz w:val="21"/>
              </w:rPr>
              <w:t>办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023" w:type="dxa"/>
          </w:tcPr>
          <w:p>
            <w:pPr>
              <w:pStyle w:val="12"/>
              <w:spacing w:before="17"/>
              <w:ind w:left="85"/>
              <w:rPr>
                <w:b/>
                <w:sz w:val="21"/>
              </w:rPr>
            </w:pPr>
            <w:r>
              <w:rPr>
                <w:b/>
                <w:sz w:val="21"/>
              </w:rPr>
              <w:t>是否为自</w:t>
            </w:r>
          </w:p>
          <w:p>
            <w:pPr>
              <w:pStyle w:val="12"/>
              <w:spacing w:before="139"/>
              <w:ind w:left="399"/>
              <w:rPr>
                <w:b/>
                <w:sz w:val="21"/>
              </w:rPr>
            </w:pPr>
            <w:r>
              <w:rPr>
                <w:b/>
                <w:sz w:val="21"/>
              </w:rPr>
              <w:t>核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14" w:type="dxa"/>
          </w:tcPr>
          <w:p>
            <w:pPr>
              <w:pStyle w:val="12"/>
              <w:spacing w:before="17"/>
              <w:ind w:left="75"/>
              <w:rPr>
                <w:b/>
                <w:sz w:val="21"/>
              </w:rPr>
            </w:pPr>
            <w:r>
              <w:rPr>
                <w:b/>
                <w:sz w:val="21"/>
              </w:rPr>
              <w:t>是否同意承</w:t>
            </w:r>
          </w:p>
          <w:p>
            <w:pPr>
              <w:pStyle w:val="12"/>
              <w:spacing w:before="139"/>
              <w:ind w:left="497"/>
              <w:rPr>
                <w:b/>
                <w:sz w:val="21"/>
              </w:rPr>
            </w:pPr>
            <w:r>
              <w:rPr>
                <w:b/>
                <w:sz w:val="21"/>
              </w:rPr>
              <w:t>办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302" w:type="dxa"/>
          </w:tcPr>
          <w:p>
            <w:pPr>
              <w:pStyle w:val="12"/>
              <w:spacing w:before="17"/>
              <w:ind w:left="100"/>
              <w:rPr>
                <w:sz w:val="21"/>
              </w:rPr>
            </w:pPr>
            <w:r>
              <w:rPr>
                <w:sz w:val="21"/>
              </w:rPr>
              <w:t>衡阳市融资担保集团有</w:t>
            </w:r>
          </w:p>
          <w:p>
            <w:pPr>
              <w:pStyle w:val="12"/>
              <w:spacing w:before="139"/>
              <w:ind w:left="834"/>
              <w:rPr>
                <w:sz w:val="21"/>
              </w:rPr>
            </w:pPr>
            <w:r>
              <w:rPr>
                <w:sz w:val="21"/>
              </w:rPr>
              <w:t xml:space="preserve">限公司 </w:t>
            </w:r>
          </w:p>
        </w:tc>
        <w:tc>
          <w:tcPr>
            <w:tcW w:w="2192" w:type="dxa"/>
          </w:tcPr>
          <w:p>
            <w:pPr>
              <w:pStyle w:val="12"/>
              <w:spacing w:before="3"/>
              <w:rPr>
                <w:sz w:val="17"/>
              </w:rPr>
            </w:pPr>
          </w:p>
          <w:p>
            <w:pPr>
              <w:pStyle w:val="12"/>
              <w:ind w:left="333"/>
              <w:rPr>
                <w:sz w:val="21"/>
              </w:rPr>
            </w:pPr>
            <w:r>
              <w:rPr>
                <w:sz w:val="21"/>
              </w:rPr>
              <w:t xml:space="preserve">保证金额≤80 万 </w:t>
            </w:r>
          </w:p>
        </w:tc>
        <w:tc>
          <w:tcPr>
            <w:tcW w:w="1138" w:type="dxa"/>
          </w:tcPr>
          <w:p>
            <w:pPr>
              <w:pStyle w:val="12"/>
              <w:spacing w:before="3"/>
              <w:rPr>
                <w:sz w:val="17"/>
              </w:rPr>
            </w:pPr>
          </w:p>
          <w:p>
            <w:pPr>
              <w:pStyle w:val="12"/>
              <w:ind w:left="126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1162" w:type="dxa"/>
          </w:tcPr>
          <w:p>
            <w:pPr>
              <w:pStyle w:val="12"/>
              <w:spacing w:before="3"/>
              <w:rPr>
                <w:sz w:val="17"/>
              </w:rPr>
            </w:pPr>
          </w:p>
          <w:p>
            <w:pPr>
              <w:pStyle w:val="12"/>
              <w:ind w:left="471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1023" w:type="dxa"/>
          </w:tcPr>
          <w:p>
            <w:pPr>
              <w:pStyle w:val="12"/>
              <w:spacing w:before="3"/>
              <w:rPr>
                <w:sz w:val="17"/>
              </w:rPr>
            </w:pPr>
          </w:p>
          <w:p>
            <w:pPr>
              <w:pStyle w:val="12"/>
              <w:ind w:left="399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1214" w:type="dxa"/>
          </w:tcPr>
          <w:p>
            <w:pPr>
              <w:pStyle w:val="12"/>
              <w:spacing w:before="3"/>
              <w:rPr>
                <w:sz w:val="17"/>
              </w:rPr>
            </w:pPr>
          </w:p>
          <w:p>
            <w:pPr>
              <w:pStyle w:val="12"/>
              <w:ind w:left="497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</w:tr>
    </w:tbl>
    <w:p>
      <w:pPr>
        <w:spacing w:after="0"/>
        <w:rPr>
          <w:sz w:val="21"/>
        </w:rPr>
        <w:sectPr>
          <w:footerReference r:id="rId3" w:type="default"/>
          <w:type w:val="continuous"/>
          <w:pgSz w:w="11910" w:h="16840"/>
          <w:pgMar w:top="1580" w:right="1080" w:bottom="280" w:left="1340" w:header="720" w:footer="720" w:gutter="0"/>
        </w:sectPr>
      </w:pPr>
    </w:p>
    <w:p>
      <w:pPr>
        <w:pStyle w:val="5"/>
        <w:spacing w:before="5"/>
        <w:rPr>
          <w:sz w:val="11"/>
        </w:rPr>
      </w:pPr>
    </w:p>
    <w:p>
      <w:pPr>
        <w:pStyle w:val="3"/>
        <w:spacing w:before="55"/>
      </w:pPr>
      <w:r>
        <w:t>二、 撤销规则</w:t>
      </w:r>
    </w:p>
    <w:p>
      <w:pPr>
        <w:pStyle w:val="5"/>
        <w:spacing w:before="12"/>
        <w:rPr>
          <w:b/>
          <w:sz w:val="25"/>
        </w:rPr>
      </w:pPr>
    </w:p>
    <w:p>
      <w:pPr>
        <w:pStyle w:val="4"/>
      </w:pPr>
      <w:r>
        <w:t>（一）撤销情形</w:t>
      </w:r>
    </w:p>
    <w:p>
      <w:pPr>
        <w:pStyle w:val="11"/>
        <w:numPr>
          <w:ilvl w:val="0"/>
          <w:numId w:val="1"/>
        </w:numPr>
        <w:tabs>
          <w:tab w:val="left" w:pos="762"/>
        </w:tabs>
        <w:spacing w:before="161" w:after="0" w:line="240" w:lineRule="auto"/>
        <w:ind w:left="761" w:right="0" w:hanging="182"/>
        <w:jc w:val="left"/>
        <w:rPr>
          <w:sz w:val="24"/>
        </w:rPr>
      </w:pPr>
      <w:r>
        <w:rPr>
          <w:sz w:val="24"/>
        </w:rPr>
        <w:t>开标前申请人放弃申请或项目发生中止、暂停的，可进行撤销；</w:t>
      </w:r>
    </w:p>
    <w:p>
      <w:pPr>
        <w:pStyle w:val="11"/>
        <w:numPr>
          <w:ilvl w:val="0"/>
          <w:numId w:val="1"/>
        </w:numPr>
        <w:tabs>
          <w:tab w:val="left" w:pos="762"/>
        </w:tabs>
        <w:spacing w:before="158" w:after="0" w:line="240" w:lineRule="auto"/>
        <w:ind w:left="761" w:right="0" w:hanging="182"/>
        <w:jc w:val="left"/>
        <w:rPr>
          <w:sz w:val="24"/>
        </w:rPr>
      </w:pPr>
      <w:r>
        <w:rPr>
          <w:sz w:val="24"/>
        </w:rPr>
        <w:t>开标前项目发生流标、终止的，可进行撤销；</w:t>
      </w:r>
    </w:p>
    <w:p>
      <w:pPr>
        <w:pStyle w:val="11"/>
        <w:numPr>
          <w:ilvl w:val="0"/>
          <w:numId w:val="1"/>
        </w:numPr>
        <w:tabs>
          <w:tab w:val="left" w:pos="762"/>
        </w:tabs>
        <w:spacing w:before="160" w:after="0" w:line="240" w:lineRule="auto"/>
        <w:ind w:left="761" w:right="0" w:hanging="182"/>
        <w:jc w:val="left"/>
        <w:rPr>
          <w:sz w:val="24"/>
        </w:rPr>
      </w:pPr>
      <w:r>
        <w:rPr>
          <w:sz w:val="24"/>
        </w:rPr>
        <w:t>开标后项目发生流标的，可进行撤销；</w:t>
      </w:r>
    </w:p>
    <w:p>
      <w:pPr>
        <w:pStyle w:val="11"/>
        <w:numPr>
          <w:ilvl w:val="0"/>
          <w:numId w:val="1"/>
        </w:numPr>
        <w:tabs>
          <w:tab w:val="left" w:pos="762"/>
        </w:tabs>
        <w:spacing w:before="158" w:after="0" w:line="240" w:lineRule="auto"/>
        <w:ind w:left="761" w:right="0" w:hanging="182"/>
        <w:jc w:val="left"/>
        <w:rPr>
          <w:sz w:val="24"/>
        </w:rPr>
      </w:pPr>
      <w:r>
        <w:rPr>
          <w:spacing w:val="-15"/>
          <w:sz w:val="24"/>
        </w:rPr>
        <w:t xml:space="preserve">除上述 </w:t>
      </w:r>
      <w:r>
        <w:rPr>
          <w:rFonts w:ascii="Times New Roman" w:eastAsia="Times New Roman"/>
          <w:sz w:val="24"/>
        </w:rPr>
        <w:t xml:space="preserve">3 </w:t>
      </w:r>
      <w:r>
        <w:rPr>
          <w:sz w:val="24"/>
        </w:rPr>
        <w:t>种情形外均不予撤销。</w:t>
      </w:r>
    </w:p>
    <w:p>
      <w:pPr>
        <w:pStyle w:val="4"/>
        <w:spacing w:before="161"/>
      </w:pPr>
      <w:r>
        <w:t>（二）退费路径</w:t>
      </w:r>
    </w:p>
    <w:p>
      <w:pPr>
        <w:pStyle w:val="5"/>
        <w:spacing w:line="364" w:lineRule="auto"/>
        <w:ind w:left="100" w:right="356" w:firstLine="480"/>
      </w:pPr>
      <w:r>
        <w:rPr>
          <w:spacing w:val="-8"/>
        </w:rPr>
        <w:t>网银支付担保费的：担保费退回申请人的银行账户，具体操作详见《衡阳市工程建</w:t>
      </w:r>
      <w:r>
        <w:t>设投标担保申请人（投标人）操作手册》。</w:t>
      </w:r>
    </w:p>
    <w:p>
      <w:pPr>
        <w:pStyle w:val="4"/>
        <w:spacing w:line="306" w:lineRule="exact"/>
      </w:pPr>
      <w:r>
        <w:t>（三）其他</w:t>
      </w:r>
    </w:p>
    <w:p>
      <w:pPr>
        <w:pStyle w:val="11"/>
        <w:numPr>
          <w:ilvl w:val="0"/>
          <w:numId w:val="2"/>
        </w:numPr>
        <w:tabs>
          <w:tab w:val="left" w:pos="763"/>
        </w:tabs>
        <w:spacing w:before="161" w:after="0" w:line="362" w:lineRule="auto"/>
        <w:ind w:left="100" w:right="237" w:firstLine="480"/>
        <w:jc w:val="left"/>
        <w:rPr>
          <w:sz w:val="24"/>
        </w:rPr>
      </w:pPr>
      <w:r>
        <w:rPr>
          <w:sz w:val="24"/>
        </w:rPr>
        <w:t>因系统故障等原因导致无法进行线上撤销，请及时联系担保公司进行线下撤销， 也可拨打电子保函服务平台官方联系电话（</w:t>
      </w:r>
      <w:r>
        <w:rPr>
          <w:rFonts w:ascii="Times New Roman" w:eastAsia="Times New Roman"/>
          <w:sz w:val="24"/>
        </w:rPr>
        <w:t>400-800-5100</w:t>
      </w:r>
      <w:r>
        <w:rPr>
          <w:sz w:val="24"/>
        </w:rPr>
        <w:t>）解决系统故障问题。</w:t>
      </w:r>
    </w:p>
    <w:p>
      <w:pPr>
        <w:pStyle w:val="11"/>
        <w:numPr>
          <w:ilvl w:val="0"/>
          <w:numId w:val="2"/>
        </w:numPr>
        <w:tabs>
          <w:tab w:val="left" w:pos="762"/>
        </w:tabs>
        <w:spacing w:before="5" w:after="0" w:line="364" w:lineRule="auto"/>
        <w:ind w:left="582" w:right="2485" w:hanging="3"/>
        <w:jc w:val="left"/>
        <w:rPr>
          <w:b/>
          <w:sz w:val="24"/>
        </w:rPr>
      </w:pPr>
      <w:r>
        <w:rPr>
          <w:spacing w:val="-1"/>
          <w:sz w:val="24"/>
        </w:rPr>
        <w:t>申请人办理退费事宜，满足撤销条件的，担保费全额退还。</w:t>
      </w:r>
      <w:r>
        <w:rPr>
          <w:b/>
          <w:sz w:val="24"/>
        </w:rPr>
        <w:t>三、赔偿规则</w:t>
      </w:r>
    </w:p>
    <w:p>
      <w:pPr>
        <w:pStyle w:val="5"/>
        <w:spacing w:before="0" w:line="306" w:lineRule="exact"/>
        <w:ind w:left="580"/>
      </w:pPr>
      <w:r>
        <w:t>（一）赔偿情形</w:t>
      </w:r>
    </w:p>
    <w:p>
      <w:pPr>
        <w:pStyle w:val="5"/>
        <w:spacing w:before="161" w:line="362" w:lineRule="auto"/>
        <w:ind w:left="100" w:right="357" w:firstLine="480"/>
      </w:pPr>
      <w:r>
        <w:rPr>
          <w:spacing w:val="-8"/>
        </w:rPr>
        <w:t>当申请人违反所投项目《招标文件》规定或相关法律法规要求，导致投标保证金不</w:t>
      </w:r>
      <w:r>
        <w:t>予退还情形，受益人可在线上发起赔偿、兑付申请。</w:t>
      </w:r>
    </w:p>
    <w:p>
      <w:pPr>
        <w:pStyle w:val="5"/>
        <w:spacing w:before="5"/>
        <w:ind w:left="580"/>
      </w:pPr>
      <w:r>
        <w:t>（二）赔偿操作</w:t>
      </w:r>
    </w:p>
    <w:p>
      <w:pPr>
        <w:pStyle w:val="11"/>
        <w:numPr>
          <w:ilvl w:val="0"/>
          <w:numId w:val="3"/>
        </w:numPr>
        <w:tabs>
          <w:tab w:val="left" w:pos="942"/>
        </w:tabs>
        <w:spacing w:before="158" w:after="0" w:line="240" w:lineRule="auto"/>
        <w:ind w:left="941" w:right="0" w:hanging="362"/>
        <w:jc w:val="left"/>
        <w:rPr>
          <w:sz w:val="24"/>
        </w:rPr>
      </w:pPr>
      <w:r>
        <w:rPr>
          <w:sz w:val="24"/>
        </w:rPr>
        <w:t>当触发赔偿、兑付时，受益人在线上提出申请，并填写联系人、联系方式。</w:t>
      </w:r>
    </w:p>
    <w:p>
      <w:pPr>
        <w:pStyle w:val="11"/>
        <w:numPr>
          <w:ilvl w:val="0"/>
          <w:numId w:val="3"/>
        </w:numPr>
        <w:tabs>
          <w:tab w:val="left" w:pos="942"/>
        </w:tabs>
        <w:spacing w:before="160" w:after="0" w:line="240" w:lineRule="auto"/>
        <w:ind w:left="941" w:right="0" w:hanging="362"/>
        <w:jc w:val="left"/>
        <w:rPr>
          <w:sz w:val="24"/>
        </w:rPr>
      </w:pPr>
      <w:r>
        <w:rPr>
          <w:sz w:val="24"/>
        </w:rPr>
        <w:t>担保公司收到线上申请信息后，与联系人对接，并办理赔偿相关事宜。</w:t>
      </w:r>
    </w:p>
    <w:p>
      <w:pPr>
        <w:pStyle w:val="5"/>
        <w:ind w:left="580"/>
      </w:pPr>
      <w:r>
        <w:t>（三）线下赔偿材料提供如下：</w:t>
      </w:r>
    </w:p>
    <w:p>
      <w:pPr>
        <w:pStyle w:val="11"/>
        <w:numPr>
          <w:ilvl w:val="0"/>
          <w:numId w:val="4"/>
        </w:numPr>
        <w:tabs>
          <w:tab w:val="left" w:pos="762"/>
        </w:tabs>
        <w:spacing w:before="161" w:after="0" w:line="240" w:lineRule="auto"/>
        <w:ind w:left="761" w:right="0" w:hanging="182"/>
        <w:jc w:val="left"/>
        <w:rPr>
          <w:sz w:val="24"/>
        </w:rPr>
      </w:pPr>
      <w:r>
        <w:rPr>
          <w:sz w:val="24"/>
        </w:rPr>
        <w:t>索赔申请书；</w:t>
      </w:r>
    </w:p>
    <w:p>
      <w:pPr>
        <w:pStyle w:val="11"/>
        <w:numPr>
          <w:ilvl w:val="0"/>
          <w:numId w:val="4"/>
        </w:numPr>
        <w:tabs>
          <w:tab w:val="left" w:pos="762"/>
        </w:tabs>
        <w:spacing w:before="158" w:after="0" w:line="240" w:lineRule="auto"/>
        <w:ind w:left="761" w:right="0" w:hanging="182"/>
        <w:jc w:val="left"/>
        <w:rPr>
          <w:sz w:val="24"/>
        </w:rPr>
      </w:pPr>
      <w:r>
        <w:rPr>
          <w:sz w:val="24"/>
        </w:rPr>
        <w:t>招标文件和投标文件；</w:t>
      </w:r>
    </w:p>
    <w:p>
      <w:pPr>
        <w:pStyle w:val="11"/>
        <w:numPr>
          <w:ilvl w:val="0"/>
          <w:numId w:val="4"/>
        </w:numPr>
        <w:tabs>
          <w:tab w:val="left" w:pos="762"/>
        </w:tabs>
        <w:spacing w:before="161" w:after="0" w:line="240" w:lineRule="auto"/>
        <w:ind w:left="761" w:right="0" w:hanging="182"/>
        <w:jc w:val="left"/>
        <w:rPr>
          <w:sz w:val="24"/>
        </w:rPr>
      </w:pPr>
      <w:r>
        <w:rPr>
          <w:sz w:val="24"/>
        </w:rPr>
        <w:t>申请人违约证明材料。</w:t>
      </w:r>
    </w:p>
    <w:p>
      <w:pPr>
        <w:pStyle w:val="5"/>
        <w:ind w:left="580"/>
      </w:pPr>
      <w:r>
        <w:t>（四）赔偿时限</w:t>
      </w:r>
    </w:p>
    <w:p>
      <w:pPr>
        <w:pStyle w:val="5"/>
        <w:spacing w:before="161"/>
        <w:ind w:left="580"/>
      </w:pPr>
      <w:r>
        <w:t>担保公司应按照要求在规定时间内完成责任款项支付，原则上收到申请后不超过</w:t>
      </w:r>
    </w:p>
    <w:p>
      <w:pPr>
        <w:pStyle w:val="5"/>
        <w:ind w:left="100"/>
      </w:pPr>
      <w:r>
        <w:rPr>
          <w:rFonts w:ascii="Times New Roman" w:eastAsia="Times New Roman"/>
        </w:rPr>
        <w:t xml:space="preserve">10 </w:t>
      </w:r>
      <w:r>
        <w:t>个工作日内完成赔偿。</w:t>
      </w:r>
    </w:p>
    <w:sectPr>
      <w:pgSz w:w="11910" w:h="16840"/>
      <w:pgMar w:top="1580" w:right="108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61" w:hanging="1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7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6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41" w:hanging="18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15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4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1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7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09" w:hanging="183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61" w:hanging="1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7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6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41" w:hanging="181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4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9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03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7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2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7" w:hanging="36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0B84C21"/>
    <w:rsid w:val="4E226457"/>
    <w:rsid w:val="6C62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6" w:right="449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91" w:right="30"/>
      <w:jc w:val="center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582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58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61"/>
      <w:ind w:left="761" w:hanging="182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2020-12-16T01:25:00Z</dcterms:created>
  <dc:creator>smsx</dc:creator>
  <cp:lastModifiedBy>Administrator</cp:lastModifiedBy>
  <dcterms:modified xsi:type="dcterms:W3CDTF">2020-12-16T01:32:35Z</dcterms:modified>
  <dc:title>目  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2020-12-16T00:00:00Z</vt:filetime>
  </property>
  <property fmtid="{D5CDD505-2E9C-101B-9397-08002B2CF9AE}" pid="5" name="KSOProductBuildVer">
    <vt:lpwstr>2052-11.1.0.10228</vt:lpwstr>
  </property>
</Properties>
</file>